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A543BD3" w14:textId="77777777" w:rsidR="008E247C" w:rsidRDefault="008E247C" w:rsidP="00242C2D">
      <w:pPr>
        <w:spacing w:line="480" w:lineRule="auto"/>
        <w:rPr>
          <w:b/>
          <w:lang w:val="es-ES"/>
        </w:rPr>
      </w:pPr>
      <w:bookmarkStart w:id="0" w:name="_GoBack"/>
      <w:bookmarkEnd w:id="0"/>
    </w:p>
    <w:p w14:paraId="5AC0A101" w14:textId="77777777" w:rsidR="008E247C" w:rsidRPr="003F630C" w:rsidRDefault="008E247C" w:rsidP="008E247C">
      <w:pPr>
        <w:spacing w:line="600" w:lineRule="auto"/>
        <w:ind w:hanging="2"/>
        <w:rPr>
          <w:rFonts w:eastAsia="Century Gothic"/>
          <w:b/>
        </w:rPr>
      </w:pPr>
    </w:p>
    <w:p w14:paraId="2AED76E9" w14:textId="244BC126" w:rsidR="008E247C" w:rsidRPr="003F630C" w:rsidRDefault="008E247C" w:rsidP="008E247C">
      <w:pPr>
        <w:pBdr>
          <w:top w:val="nil"/>
          <w:left w:val="nil"/>
          <w:bottom w:val="nil"/>
          <w:right w:val="nil"/>
          <w:between w:val="nil"/>
        </w:pBdr>
        <w:spacing w:line="600" w:lineRule="auto"/>
        <w:ind w:hanging="2"/>
        <w:jc w:val="center"/>
        <w:rPr>
          <w:rFonts w:eastAsia="Century Gothic"/>
          <w:color w:val="000000"/>
        </w:rPr>
      </w:pPr>
      <w:r w:rsidRPr="003F630C">
        <w:rPr>
          <w:rFonts w:eastAsia="Century Gothic"/>
          <w:b/>
        </w:rPr>
        <w:t>TÍTULO</w:t>
      </w:r>
      <w:r w:rsidRPr="003F630C">
        <w:rPr>
          <w:rFonts w:eastAsia="Century Gothic"/>
          <w:b/>
          <w:color w:val="000000"/>
        </w:rPr>
        <w:t xml:space="preserve">: </w:t>
      </w:r>
      <w:r w:rsidRPr="003F630C">
        <w:rPr>
          <w:rFonts w:eastAsia="Century Gothic"/>
          <w:b/>
        </w:rPr>
        <w:t>LA INEFICACIA, LA RESPONSABILIDAD ESTATAL Y</w:t>
      </w:r>
      <w:r w:rsidRPr="003F630C">
        <w:rPr>
          <w:rFonts w:eastAsia="Century Gothic"/>
          <w:b/>
          <w:color w:val="000000"/>
        </w:rPr>
        <w:t xml:space="preserve"> EL RESARCIMIENTO DE PERJUICIOS</w:t>
      </w:r>
      <w:r w:rsidRPr="003F630C">
        <w:rPr>
          <w:rFonts w:eastAsia="Century Gothic"/>
          <w:b/>
        </w:rPr>
        <w:t xml:space="preserve"> </w:t>
      </w:r>
      <w:r w:rsidR="00171F25">
        <w:rPr>
          <w:rFonts w:eastAsia="Century Gothic"/>
          <w:b/>
        </w:rPr>
        <w:t>EXTRA</w:t>
      </w:r>
      <w:r w:rsidRPr="003F630C">
        <w:rPr>
          <w:rFonts w:eastAsia="Century Gothic"/>
          <w:b/>
        </w:rPr>
        <w:t xml:space="preserve">PATRIMONIALES </w:t>
      </w:r>
      <w:r w:rsidRPr="003F630C">
        <w:rPr>
          <w:rFonts w:eastAsia="Century Gothic"/>
          <w:b/>
          <w:color w:val="000000"/>
        </w:rPr>
        <w:t xml:space="preserve">COMO CONSECUENCIAS </w:t>
      </w:r>
      <w:r w:rsidRPr="003F630C">
        <w:rPr>
          <w:rFonts w:eastAsia="Century Gothic"/>
          <w:b/>
        </w:rPr>
        <w:t xml:space="preserve">DE </w:t>
      </w:r>
      <w:r w:rsidRPr="003F630C">
        <w:rPr>
          <w:rFonts w:eastAsia="Century Gothic"/>
          <w:b/>
          <w:color w:val="000000"/>
        </w:rPr>
        <w:t xml:space="preserve">LA OMISIÓN AL DEBER DE INFORMACIÓN </w:t>
      </w:r>
      <w:r w:rsidRPr="003F630C">
        <w:rPr>
          <w:rFonts w:eastAsia="Century Gothic"/>
          <w:b/>
        </w:rPr>
        <w:t>AL MOMENTO DE LA</w:t>
      </w:r>
      <w:r w:rsidRPr="003F630C">
        <w:rPr>
          <w:rFonts w:eastAsia="Century Gothic"/>
          <w:b/>
          <w:color w:val="000000"/>
        </w:rPr>
        <w:t xml:space="preserve"> AFILIACIÓN O TRASLADO DE RÉGIMEN PENSIONAL</w:t>
      </w:r>
    </w:p>
    <w:p w14:paraId="72F7906C" w14:textId="77777777" w:rsidR="008E247C" w:rsidRDefault="008E247C" w:rsidP="008E247C">
      <w:pPr>
        <w:spacing w:line="600" w:lineRule="auto"/>
        <w:ind w:hanging="2"/>
        <w:jc w:val="center"/>
        <w:rPr>
          <w:rFonts w:eastAsia="Century Gothic"/>
          <w:b/>
        </w:rPr>
      </w:pPr>
    </w:p>
    <w:p w14:paraId="4E0672AC" w14:textId="77777777" w:rsidR="008E247C" w:rsidRPr="003F630C" w:rsidRDefault="008E247C" w:rsidP="008E247C">
      <w:pPr>
        <w:spacing w:line="600" w:lineRule="auto"/>
        <w:ind w:hanging="2"/>
        <w:jc w:val="center"/>
        <w:rPr>
          <w:rFonts w:eastAsia="Century Gothic"/>
          <w:b/>
        </w:rPr>
      </w:pPr>
    </w:p>
    <w:p w14:paraId="4372FCA9" w14:textId="77777777" w:rsidR="008E247C" w:rsidRPr="003F630C" w:rsidRDefault="008E247C" w:rsidP="008E247C">
      <w:pPr>
        <w:spacing w:line="600" w:lineRule="auto"/>
        <w:rPr>
          <w:rFonts w:eastAsia="Century Gothic"/>
        </w:rPr>
      </w:pPr>
    </w:p>
    <w:p w14:paraId="2D53A707" w14:textId="1A7179D0" w:rsidR="008E247C" w:rsidRPr="003F630C" w:rsidRDefault="008E247C" w:rsidP="008E247C">
      <w:pPr>
        <w:spacing w:line="600" w:lineRule="auto"/>
        <w:jc w:val="center"/>
        <w:rPr>
          <w:rFonts w:eastAsia="Century Gothic"/>
        </w:rPr>
      </w:pPr>
      <w:r w:rsidRPr="003F630C">
        <w:rPr>
          <w:rFonts w:eastAsia="Century Gothic"/>
          <w:b/>
        </w:rPr>
        <w:t>DANIELA RIOS LOPERA</w:t>
      </w:r>
    </w:p>
    <w:p w14:paraId="7D3B83E4" w14:textId="77777777" w:rsidR="008E247C" w:rsidRPr="003F630C" w:rsidRDefault="008E247C" w:rsidP="008E247C">
      <w:pPr>
        <w:spacing w:line="600" w:lineRule="auto"/>
        <w:ind w:hanging="2"/>
        <w:jc w:val="center"/>
        <w:rPr>
          <w:rFonts w:eastAsia="Century Gothic"/>
        </w:rPr>
      </w:pPr>
    </w:p>
    <w:p w14:paraId="6F3FC58D" w14:textId="13E8981A" w:rsidR="008E247C" w:rsidRDefault="008E247C" w:rsidP="008E247C">
      <w:pPr>
        <w:spacing w:line="600" w:lineRule="auto"/>
        <w:ind w:hanging="2"/>
        <w:jc w:val="center"/>
        <w:rPr>
          <w:rFonts w:eastAsia="Century Gothic"/>
          <w:b/>
        </w:rPr>
      </w:pPr>
      <w:r w:rsidRPr="003F630C">
        <w:rPr>
          <w:rFonts w:eastAsia="Century Gothic"/>
          <w:b/>
        </w:rPr>
        <w:t>Asesor:</w:t>
      </w:r>
    </w:p>
    <w:p w14:paraId="5D1FC78E" w14:textId="6B53AA3E" w:rsidR="00242C2D" w:rsidRPr="00242C2D" w:rsidRDefault="00242C2D" w:rsidP="008E247C">
      <w:pPr>
        <w:spacing w:line="600" w:lineRule="auto"/>
        <w:ind w:hanging="2"/>
        <w:jc w:val="center"/>
        <w:rPr>
          <w:rFonts w:eastAsia="Century Gothic"/>
        </w:rPr>
      </w:pPr>
      <w:r w:rsidRPr="00242C2D">
        <w:rPr>
          <w:rFonts w:eastAsia="Century Gothic"/>
        </w:rPr>
        <w:t xml:space="preserve">Armando Múnera Posada </w:t>
      </w:r>
    </w:p>
    <w:p w14:paraId="6A60953F" w14:textId="65A00717" w:rsidR="00242C2D" w:rsidRPr="00B3057A" w:rsidRDefault="00242C2D" w:rsidP="00242C2D">
      <w:pPr>
        <w:pStyle w:val="paragraph"/>
        <w:spacing w:before="0" w:beforeAutospacing="0" w:after="0" w:afterAutospacing="0"/>
        <w:jc w:val="center"/>
        <w:textAlignment w:val="baseline"/>
        <w:rPr>
          <w:rStyle w:val="eop"/>
          <w:color w:val="000000" w:themeColor="text1"/>
          <w:sz w:val="24"/>
          <w:szCs w:val="24"/>
          <w:lang w:val="es-ES"/>
        </w:rPr>
      </w:pPr>
      <w:r w:rsidRPr="00B3057A">
        <w:rPr>
          <w:rStyle w:val="eop"/>
          <w:color w:val="000000" w:themeColor="text1"/>
          <w:sz w:val="24"/>
          <w:szCs w:val="24"/>
          <w:lang w:val="es-ES"/>
        </w:rPr>
        <w:t xml:space="preserve">Monografía </w:t>
      </w:r>
      <w:r w:rsidR="00F70150">
        <w:rPr>
          <w:rStyle w:val="eop"/>
          <w:color w:val="000000" w:themeColor="text1"/>
          <w:sz w:val="24"/>
          <w:szCs w:val="24"/>
          <w:lang w:val="es-ES"/>
        </w:rPr>
        <w:t>para optar el título de abogado</w:t>
      </w:r>
    </w:p>
    <w:p w14:paraId="7C8A98A5" w14:textId="77777777" w:rsidR="008E247C" w:rsidRDefault="008E247C" w:rsidP="008E247C">
      <w:pPr>
        <w:spacing w:line="600" w:lineRule="auto"/>
        <w:ind w:hanging="2"/>
        <w:jc w:val="center"/>
        <w:rPr>
          <w:rFonts w:eastAsia="Century Gothic"/>
          <w:b/>
        </w:rPr>
      </w:pPr>
    </w:p>
    <w:p w14:paraId="6FF27B12" w14:textId="77777777" w:rsidR="00242C2D" w:rsidRPr="00B3057A" w:rsidRDefault="00242C2D" w:rsidP="00242C2D">
      <w:pPr>
        <w:pStyle w:val="paragraph"/>
        <w:spacing w:before="0" w:beforeAutospacing="0" w:after="0" w:afterAutospacing="0"/>
        <w:ind w:left="2160" w:firstLine="720"/>
        <w:textAlignment w:val="baseline"/>
        <w:rPr>
          <w:rStyle w:val="eop"/>
          <w:color w:val="000000" w:themeColor="text1"/>
          <w:sz w:val="24"/>
          <w:szCs w:val="24"/>
          <w:lang w:val="es-ES"/>
        </w:rPr>
      </w:pPr>
      <w:r w:rsidRPr="00B3057A">
        <w:rPr>
          <w:rStyle w:val="normaltextrun"/>
          <w:color w:val="000000" w:themeColor="text1"/>
          <w:sz w:val="24"/>
          <w:szCs w:val="24"/>
          <w:lang w:val="es-ES"/>
        </w:rPr>
        <w:t xml:space="preserve">   UNIVERSIDAD EAFIT</w:t>
      </w:r>
    </w:p>
    <w:p w14:paraId="4468427F" w14:textId="77777777" w:rsidR="00242C2D" w:rsidRPr="00B3057A" w:rsidRDefault="00242C2D" w:rsidP="00242C2D">
      <w:pPr>
        <w:pStyle w:val="paragraph"/>
        <w:spacing w:before="0" w:beforeAutospacing="0" w:after="0" w:afterAutospacing="0"/>
        <w:ind w:left="2160" w:firstLine="720"/>
        <w:textAlignment w:val="baseline"/>
        <w:rPr>
          <w:rStyle w:val="normaltextrun"/>
          <w:color w:val="000000" w:themeColor="text1"/>
          <w:sz w:val="24"/>
          <w:szCs w:val="24"/>
          <w:lang w:val="es-ES"/>
        </w:rPr>
      </w:pPr>
      <w:r w:rsidRPr="00B3057A">
        <w:rPr>
          <w:rStyle w:val="normaltextrun"/>
          <w:color w:val="000000" w:themeColor="text1"/>
          <w:sz w:val="24"/>
          <w:szCs w:val="24"/>
          <w:lang w:val="es-ES"/>
        </w:rPr>
        <w:t>ESCUELA DE DERECHO</w:t>
      </w:r>
    </w:p>
    <w:p w14:paraId="6ECBDDC6" w14:textId="77777777" w:rsidR="00242C2D" w:rsidRPr="00B3057A" w:rsidRDefault="00242C2D" w:rsidP="00242C2D">
      <w:pPr>
        <w:pStyle w:val="paragraph"/>
        <w:spacing w:before="0" w:beforeAutospacing="0" w:after="0" w:afterAutospacing="0"/>
        <w:ind w:left="2160" w:firstLine="720"/>
        <w:textAlignment w:val="baseline"/>
        <w:rPr>
          <w:rStyle w:val="normaltextrun"/>
          <w:color w:val="000000" w:themeColor="text1"/>
          <w:sz w:val="24"/>
          <w:szCs w:val="24"/>
          <w:lang w:val="es-ES"/>
        </w:rPr>
      </w:pPr>
      <w:r w:rsidRPr="00B3057A">
        <w:rPr>
          <w:rStyle w:val="normaltextrun"/>
          <w:color w:val="000000" w:themeColor="text1"/>
          <w:sz w:val="24"/>
          <w:szCs w:val="24"/>
          <w:lang w:val="es-ES"/>
        </w:rPr>
        <w:t xml:space="preserve">              MEDELLÍN </w:t>
      </w:r>
    </w:p>
    <w:p w14:paraId="1E07D464" w14:textId="77777777" w:rsidR="00242C2D" w:rsidRPr="00B3057A" w:rsidRDefault="00242C2D" w:rsidP="00242C2D">
      <w:pPr>
        <w:pStyle w:val="paragraph"/>
        <w:tabs>
          <w:tab w:val="left" w:pos="4021"/>
        </w:tabs>
        <w:spacing w:before="0" w:beforeAutospacing="0" w:after="0" w:afterAutospacing="0"/>
        <w:textAlignment w:val="baseline"/>
        <w:rPr>
          <w:rStyle w:val="normaltextrun"/>
          <w:color w:val="000000" w:themeColor="text1"/>
          <w:sz w:val="24"/>
          <w:szCs w:val="24"/>
          <w:lang w:val="es-ES"/>
        </w:rPr>
      </w:pPr>
      <w:r>
        <w:rPr>
          <w:rStyle w:val="normaltextrun"/>
          <w:color w:val="000000" w:themeColor="text1"/>
          <w:sz w:val="24"/>
          <w:szCs w:val="24"/>
          <w:lang w:val="es-ES"/>
        </w:rPr>
        <w:t xml:space="preserve"> </w:t>
      </w:r>
      <w:r>
        <w:rPr>
          <w:rStyle w:val="normaltextrun"/>
          <w:color w:val="000000" w:themeColor="text1"/>
          <w:sz w:val="24"/>
          <w:szCs w:val="24"/>
          <w:lang w:val="es-ES"/>
        </w:rPr>
        <w:tab/>
        <w:t>2020</w:t>
      </w:r>
    </w:p>
    <w:p w14:paraId="573A3AE6" w14:textId="77777777" w:rsidR="00242C2D" w:rsidRPr="003F630C" w:rsidRDefault="00242C2D" w:rsidP="008E247C">
      <w:pPr>
        <w:spacing w:line="600" w:lineRule="auto"/>
        <w:ind w:hanging="2"/>
        <w:jc w:val="center"/>
        <w:rPr>
          <w:rFonts w:eastAsia="Century Gothic"/>
          <w:b/>
        </w:rPr>
      </w:pPr>
    </w:p>
    <w:p w14:paraId="2D6BC3B1" w14:textId="77777777" w:rsidR="00242C2D" w:rsidRDefault="00242C2D" w:rsidP="006D09C0">
      <w:pPr>
        <w:spacing w:line="480" w:lineRule="auto"/>
        <w:jc w:val="both"/>
        <w:rPr>
          <w:rFonts w:eastAsia="Century Gothic"/>
          <w:b/>
        </w:rPr>
      </w:pPr>
    </w:p>
    <w:p w14:paraId="400855FA" w14:textId="77777777" w:rsidR="00242C2D" w:rsidRDefault="00242C2D" w:rsidP="00242C2D">
      <w:pPr>
        <w:numPr>
          <w:ilvl w:val="12"/>
          <w:numId w:val="0"/>
        </w:numPr>
        <w:spacing w:line="600" w:lineRule="auto"/>
        <w:jc w:val="center"/>
        <w:rPr>
          <w:rFonts w:eastAsia="Times New Roman"/>
          <w:b/>
          <w:bCs/>
        </w:rPr>
      </w:pPr>
      <w:r w:rsidRPr="009634E5">
        <w:rPr>
          <w:rFonts w:eastAsia="Times New Roman"/>
          <w:b/>
          <w:bCs/>
        </w:rPr>
        <w:lastRenderedPageBreak/>
        <w:t>Tabla de Contenidos</w:t>
      </w:r>
    </w:p>
    <w:p w14:paraId="4CA191AE" w14:textId="34753E33" w:rsidR="00242C2D" w:rsidRPr="003F630C" w:rsidRDefault="00242C2D" w:rsidP="00800508">
      <w:pPr>
        <w:tabs>
          <w:tab w:val="right" w:leader="dot" w:pos="8630"/>
        </w:tabs>
        <w:spacing w:line="480" w:lineRule="auto"/>
        <w:rPr>
          <w:rFonts w:eastAsia="Times New Roman"/>
          <w:noProof/>
          <w:lang w:eastAsia="es-CO"/>
        </w:rPr>
      </w:pPr>
      <w:r w:rsidRPr="003F630C">
        <w:rPr>
          <w:rFonts w:eastAsia="Times New Roman"/>
        </w:rPr>
        <w:fldChar w:fldCharType="begin"/>
      </w:r>
      <w:r w:rsidRPr="003F630C">
        <w:rPr>
          <w:rFonts w:eastAsia="Times New Roman"/>
        </w:rPr>
        <w:instrText xml:space="preserve"> TOC \o "1-3" \h \z \u </w:instrText>
      </w:r>
      <w:r w:rsidRPr="003F630C">
        <w:rPr>
          <w:rFonts w:eastAsia="Times New Roman"/>
        </w:rPr>
        <w:fldChar w:fldCharType="separate"/>
      </w:r>
      <w:hyperlink w:anchor="_Toc410628920" w:history="1">
        <w:r w:rsidR="005F4BBA">
          <w:rPr>
            <w:rFonts w:eastAsia="Century Gothic"/>
            <w:b/>
            <w:noProof/>
            <w:color w:val="000000"/>
          </w:rPr>
          <w:t>Resumen</w:t>
        </w:r>
        <w:r w:rsidRPr="003F630C">
          <w:rPr>
            <w:rFonts w:eastAsia="Times New Roman"/>
            <w:noProof/>
            <w:webHidden/>
          </w:rPr>
          <w:tab/>
        </w:r>
        <w:r w:rsidR="00725B7B">
          <w:rPr>
            <w:rFonts w:eastAsia="Times New Roman"/>
            <w:noProof/>
            <w:webHidden/>
          </w:rPr>
          <w:fldChar w:fldCharType="begin"/>
        </w:r>
        <w:r w:rsidR="00725B7B">
          <w:rPr>
            <w:rFonts w:eastAsia="Times New Roman"/>
            <w:noProof/>
            <w:webHidden/>
          </w:rPr>
          <w:instrText xml:space="preserve"> PAGEREF Resumen \h </w:instrText>
        </w:r>
        <w:r w:rsidR="00725B7B">
          <w:rPr>
            <w:rFonts w:eastAsia="Times New Roman"/>
            <w:noProof/>
            <w:webHidden/>
          </w:rPr>
        </w:r>
        <w:r w:rsidR="00725B7B">
          <w:rPr>
            <w:rFonts w:eastAsia="Times New Roman"/>
            <w:noProof/>
            <w:webHidden/>
          </w:rPr>
          <w:fldChar w:fldCharType="separate"/>
        </w:r>
        <w:r w:rsidR="00725B7B">
          <w:rPr>
            <w:rFonts w:eastAsia="Times New Roman"/>
            <w:noProof/>
            <w:webHidden/>
          </w:rPr>
          <w:t>3</w:t>
        </w:r>
        <w:r w:rsidR="00725B7B">
          <w:rPr>
            <w:rFonts w:eastAsia="Times New Roman"/>
            <w:noProof/>
            <w:webHidden/>
          </w:rPr>
          <w:fldChar w:fldCharType="end"/>
        </w:r>
      </w:hyperlink>
    </w:p>
    <w:p w14:paraId="6D5E8D3C" w14:textId="7DD17262" w:rsidR="00242C2D" w:rsidRPr="003F630C" w:rsidRDefault="00890CA6" w:rsidP="00800508">
      <w:pPr>
        <w:tabs>
          <w:tab w:val="right" w:leader="dot" w:pos="8630"/>
        </w:tabs>
        <w:spacing w:line="480" w:lineRule="auto"/>
        <w:rPr>
          <w:rFonts w:eastAsia="Times New Roman"/>
          <w:noProof/>
          <w:lang w:eastAsia="es-CO"/>
        </w:rPr>
      </w:pPr>
      <w:hyperlink w:anchor="_Toc410628925" w:history="1">
        <w:r w:rsidR="005F4BBA">
          <w:rPr>
            <w:rFonts w:eastAsia="Times New Roman"/>
            <w:b/>
            <w:noProof/>
          </w:rPr>
          <w:t>Palabras Clave</w:t>
        </w:r>
        <w:r w:rsidR="00242C2D" w:rsidRPr="003F630C">
          <w:rPr>
            <w:rFonts w:eastAsia="Times New Roman"/>
            <w:noProof/>
            <w:webHidden/>
          </w:rPr>
          <w:tab/>
        </w:r>
        <w:r w:rsidR="00725B7B">
          <w:rPr>
            <w:rFonts w:eastAsia="Times New Roman"/>
            <w:noProof/>
            <w:webHidden/>
          </w:rPr>
          <w:fldChar w:fldCharType="begin"/>
        </w:r>
        <w:r w:rsidR="00725B7B">
          <w:rPr>
            <w:rFonts w:eastAsia="Times New Roman"/>
            <w:noProof/>
            <w:webHidden/>
          </w:rPr>
          <w:instrText xml:space="preserve"> PAGEREF Palabras_Clave \h </w:instrText>
        </w:r>
        <w:r w:rsidR="00725B7B">
          <w:rPr>
            <w:rFonts w:eastAsia="Times New Roman"/>
            <w:noProof/>
            <w:webHidden/>
          </w:rPr>
        </w:r>
        <w:r w:rsidR="00725B7B">
          <w:rPr>
            <w:rFonts w:eastAsia="Times New Roman"/>
            <w:noProof/>
            <w:webHidden/>
          </w:rPr>
          <w:fldChar w:fldCharType="separate"/>
        </w:r>
        <w:r w:rsidR="00725B7B">
          <w:rPr>
            <w:rFonts w:eastAsia="Times New Roman"/>
            <w:noProof/>
            <w:webHidden/>
          </w:rPr>
          <w:t>3</w:t>
        </w:r>
        <w:r w:rsidR="00725B7B">
          <w:rPr>
            <w:rFonts w:eastAsia="Times New Roman"/>
            <w:noProof/>
            <w:webHidden/>
          </w:rPr>
          <w:fldChar w:fldCharType="end"/>
        </w:r>
      </w:hyperlink>
    </w:p>
    <w:p w14:paraId="3FE5BE3E" w14:textId="4D506CC4" w:rsidR="00242C2D" w:rsidRDefault="00890CA6" w:rsidP="00800508">
      <w:pPr>
        <w:tabs>
          <w:tab w:val="right" w:leader="dot" w:pos="8630"/>
        </w:tabs>
        <w:spacing w:line="480" w:lineRule="auto"/>
        <w:rPr>
          <w:rFonts w:eastAsia="Times New Roman"/>
          <w:noProof/>
        </w:rPr>
      </w:pPr>
      <w:hyperlink w:anchor="_Toc410628929" w:history="1">
        <w:r w:rsidR="005F4BBA">
          <w:rPr>
            <w:rFonts w:eastAsia="Times New Roman"/>
            <w:b/>
            <w:noProof/>
          </w:rPr>
          <w:t>Abstract</w:t>
        </w:r>
        <w:r w:rsidR="00242C2D" w:rsidRPr="003F630C">
          <w:rPr>
            <w:rFonts w:eastAsia="Times New Roman"/>
            <w:noProof/>
            <w:webHidden/>
          </w:rPr>
          <w:tab/>
        </w:r>
        <w:r w:rsidR="00725B7B">
          <w:rPr>
            <w:rFonts w:eastAsia="Times New Roman"/>
            <w:noProof/>
            <w:webHidden/>
          </w:rPr>
          <w:fldChar w:fldCharType="begin"/>
        </w:r>
        <w:r w:rsidR="00725B7B">
          <w:rPr>
            <w:rFonts w:eastAsia="Times New Roman"/>
            <w:noProof/>
            <w:webHidden/>
          </w:rPr>
          <w:instrText xml:space="preserve"> PAGEREF Abstract \h </w:instrText>
        </w:r>
        <w:r w:rsidR="00725B7B">
          <w:rPr>
            <w:rFonts w:eastAsia="Times New Roman"/>
            <w:noProof/>
            <w:webHidden/>
          </w:rPr>
        </w:r>
        <w:r w:rsidR="00725B7B">
          <w:rPr>
            <w:rFonts w:eastAsia="Times New Roman"/>
            <w:noProof/>
            <w:webHidden/>
          </w:rPr>
          <w:fldChar w:fldCharType="separate"/>
        </w:r>
        <w:r w:rsidR="00725B7B">
          <w:rPr>
            <w:rFonts w:eastAsia="Times New Roman"/>
            <w:noProof/>
            <w:webHidden/>
          </w:rPr>
          <w:t>5</w:t>
        </w:r>
        <w:r w:rsidR="00725B7B">
          <w:rPr>
            <w:rFonts w:eastAsia="Times New Roman"/>
            <w:noProof/>
            <w:webHidden/>
          </w:rPr>
          <w:fldChar w:fldCharType="end"/>
        </w:r>
      </w:hyperlink>
    </w:p>
    <w:p w14:paraId="7773CA30" w14:textId="34004702" w:rsidR="00F55714" w:rsidRDefault="00890CA6" w:rsidP="00800508">
      <w:pPr>
        <w:tabs>
          <w:tab w:val="right" w:leader="dot" w:pos="8630"/>
        </w:tabs>
        <w:spacing w:line="480" w:lineRule="auto"/>
        <w:rPr>
          <w:rFonts w:eastAsia="Times New Roman"/>
          <w:noProof/>
        </w:rPr>
      </w:pPr>
      <w:hyperlink w:anchor="_Toc410628929" w:history="1">
        <w:r w:rsidR="00F55714">
          <w:rPr>
            <w:rFonts w:eastAsia="Times New Roman"/>
            <w:b/>
            <w:noProof/>
          </w:rPr>
          <w:t>Introducción</w:t>
        </w:r>
        <w:r w:rsidR="00F55714" w:rsidRPr="003F630C">
          <w:rPr>
            <w:rFonts w:eastAsia="Times New Roman"/>
            <w:noProof/>
            <w:webHidden/>
          </w:rPr>
          <w:tab/>
        </w:r>
        <w:r w:rsidR="00725B7B">
          <w:rPr>
            <w:rFonts w:eastAsia="Times New Roman"/>
            <w:noProof/>
            <w:webHidden/>
          </w:rPr>
          <w:fldChar w:fldCharType="begin"/>
        </w:r>
        <w:r w:rsidR="00725B7B">
          <w:rPr>
            <w:rFonts w:eastAsia="Times New Roman"/>
            <w:noProof/>
            <w:webHidden/>
          </w:rPr>
          <w:instrText xml:space="preserve"> PAGEREF Introducción \h </w:instrText>
        </w:r>
        <w:r w:rsidR="00725B7B">
          <w:rPr>
            <w:rFonts w:eastAsia="Times New Roman"/>
            <w:noProof/>
            <w:webHidden/>
          </w:rPr>
        </w:r>
        <w:r w:rsidR="00725B7B">
          <w:rPr>
            <w:rFonts w:eastAsia="Times New Roman"/>
            <w:noProof/>
            <w:webHidden/>
          </w:rPr>
          <w:fldChar w:fldCharType="separate"/>
        </w:r>
        <w:r w:rsidR="00725B7B">
          <w:rPr>
            <w:rFonts w:eastAsia="Times New Roman"/>
            <w:noProof/>
            <w:webHidden/>
          </w:rPr>
          <w:t>5</w:t>
        </w:r>
        <w:r w:rsidR="00725B7B">
          <w:rPr>
            <w:rFonts w:eastAsia="Times New Roman"/>
            <w:noProof/>
            <w:webHidden/>
          </w:rPr>
          <w:fldChar w:fldCharType="end"/>
        </w:r>
      </w:hyperlink>
    </w:p>
    <w:p w14:paraId="0A52C0EA" w14:textId="292B2BBB" w:rsidR="009D525D" w:rsidRDefault="00890CA6" w:rsidP="009D525D">
      <w:pPr>
        <w:tabs>
          <w:tab w:val="right" w:leader="dot" w:pos="8630"/>
        </w:tabs>
        <w:spacing w:line="480" w:lineRule="auto"/>
        <w:rPr>
          <w:rFonts w:eastAsia="Times New Roman"/>
          <w:noProof/>
        </w:rPr>
      </w:pPr>
      <w:hyperlink w:anchor="_Toc410628929" w:history="1">
        <w:r w:rsidR="009D525D">
          <w:rPr>
            <w:rFonts w:eastAsia="Times New Roman"/>
            <w:b/>
            <w:noProof/>
          </w:rPr>
          <w:t>Planteamiento del problema jurídico</w:t>
        </w:r>
        <w:r w:rsidR="009D525D" w:rsidRPr="003F630C">
          <w:rPr>
            <w:rFonts w:eastAsia="Times New Roman"/>
            <w:noProof/>
            <w:webHidden/>
          </w:rPr>
          <w:tab/>
        </w:r>
        <w:r w:rsidR="00725B7B">
          <w:rPr>
            <w:rFonts w:eastAsia="Times New Roman"/>
            <w:noProof/>
            <w:webHidden/>
          </w:rPr>
          <w:fldChar w:fldCharType="begin"/>
        </w:r>
        <w:r w:rsidR="00725B7B">
          <w:rPr>
            <w:rFonts w:eastAsia="Times New Roman"/>
            <w:noProof/>
            <w:webHidden/>
          </w:rPr>
          <w:instrText xml:space="preserve"> PAGEREF Problema_jurídico \h </w:instrText>
        </w:r>
        <w:r w:rsidR="00725B7B">
          <w:rPr>
            <w:rFonts w:eastAsia="Times New Roman"/>
            <w:noProof/>
            <w:webHidden/>
          </w:rPr>
        </w:r>
        <w:r w:rsidR="00725B7B">
          <w:rPr>
            <w:rFonts w:eastAsia="Times New Roman"/>
            <w:noProof/>
            <w:webHidden/>
          </w:rPr>
          <w:fldChar w:fldCharType="separate"/>
        </w:r>
        <w:r w:rsidR="00725B7B">
          <w:rPr>
            <w:rFonts w:eastAsia="Times New Roman"/>
            <w:noProof/>
            <w:webHidden/>
          </w:rPr>
          <w:t>8</w:t>
        </w:r>
        <w:r w:rsidR="00725B7B">
          <w:rPr>
            <w:rFonts w:eastAsia="Times New Roman"/>
            <w:noProof/>
            <w:webHidden/>
          </w:rPr>
          <w:fldChar w:fldCharType="end"/>
        </w:r>
      </w:hyperlink>
    </w:p>
    <w:p w14:paraId="227DBABB" w14:textId="307706ED" w:rsidR="009D525D" w:rsidRDefault="00890CA6" w:rsidP="009D525D">
      <w:pPr>
        <w:tabs>
          <w:tab w:val="right" w:leader="dot" w:pos="8630"/>
        </w:tabs>
        <w:spacing w:line="480" w:lineRule="auto"/>
        <w:rPr>
          <w:rFonts w:eastAsia="Times New Roman"/>
          <w:noProof/>
        </w:rPr>
      </w:pPr>
      <w:hyperlink w:anchor="_Toc410628929" w:history="1">
        <w:r w:rsidR="009D525D">
          <w:rPr>
            <w:rFonts w:eastAsia="Times New Roman"/>
            <w:b/>
            <w:noProof/>
          </w:rPr>
          <w:t>Objetivos</w:t>
        </w:r>
        <w:r w:rsidR="009D525D" w:rsidRPr="003F630C">
          <w:rPr>
            <w:rFonts w:eastAsia="Times New Roman"/>
            <w:noProof/>
            <w:webHidden/>
          </w:rPr>
          <w:tab/>
        </w:r>
        <w:r w:rsidR="00725B7B">
          <w:rPr>
            <w:rFonts w:eastAsia="Times New Roman"/>
            <w:noProof/>
            <w:webHidden/>
          </w:rPr>
          <w:fldChar w:fldCharType="begin"/>
        </w:r>
        <w:r w:rsidR="00725B7B">
          <w:rPr>
            <w:rFonts w:eastAsia="Times New Roman"/>
            <w:noProof/>
            <w:webHidden/>
          </w:rPr>
          <w:instrText xml:space="preserve"> PAGEREF Objetivos \h </w:instrText>
        </w:r>
        <w:r w:rsidR="00725B7B">
          <w:rPr>
            <w:rFonts w:eastAsia="Times New Roman"/>
            <w:noProof/>
            <w:webHidden/>
          </w:rPr>
        </w:r>
        <w:r w:rsidR="00725B7B">
          <w:rPr>
            <w:rFonts w:eastAsia="Times New Roman"/>
            <w:noProof/>
            <w:webHidden/>
          </w:rPr>
          <w:fldChar w:fldCharType="separate"/>
        </w:r>
        <w:r w:rsidR="00725B7B">
          <w:rPr>
            <w:rFonts w:eastAsia="Times New Roman"/>
            <w:noProof/>
            <w:webHidden/>
          </w:rPr>
          <w:t>11</w:t>
        </w:r>
        <w:r w:rsidR="00725B7B">
          <w:rPr>
            <w:rFonts w:eastAsia="Times New Roman"/>
            <w:noProof/>
            <w:webHidden/>
          </w:rPr>
          <w:fldChar w:fldCharType="end"/>
        </w:r>
      </w:hyperlink>
    </w:p>
    <w:p w14:paraId="685BE7D3" w14:textId="5DB67094" w:rsidR="005F4BBA" w:rsidRDefault="00890CA6" w:rsidP="00800508">
      <w:pPr>
        <w:tabs>
          <w:tab w:val="right" w:leader="dot" w:pos="8630"/>
        </w:tabs>
        <w:spacing w:line="480" w:lineRule="auto"/>
        <w:rPr>
          <w:rFonts w:eastAsia="Times New Roman"/>
          <w:noProof/>
        </w:rPr>
      </w:pPr>
      <w:hyperlink w:anchor="_Toc410628929" w:history="1">
        <w:r w:rsidR="00F543F0">
          <w:rPr>
            <w:rFonts w:eastAsia="Times New Roman"/>
            <w:b/>
            <w:noProof/>
          </w:rPr>
          <w:t>Principio de libertad de selección del sistema</w:t>
        </w:r>
        <w:r w:rsidR="005F4BBA" w:rsidRPr="003F630C">
          <w:rPr>
            <w:rFonts w:eastAsia="Times New Roman"/>
            <w:noProof/>
            <w:webHidden/>
          </w:rPr>
          <w:tab/>
        </w:r>
        <w:r w:rsidR="00725B7B">
          <w:rPr>
            <w:rFonts w:eastAsia="Times New Roman"/>
            <w:noProof/>
            <w:webHidden/>
          </w:rPr>
          <w:fldChar w:fldCharType="begin"/>
        </w:r>
        <w:r w:rsidR="00725B7B">
          <w:rPr>
            <w:rFonts w:eastAsia="Times New Roman"/>
            <w:noProof/>
            <w:webHidden/>
          </w:rPr>
          <w:instrText xml:space="preserve"> PAGEREF Libertad_de_Selección \h </w:instrText>
        </w:r>
        <w:r w:rsidR="00725B7B">
          <w:rPr>
            <w:rFonts w:eastAsia="Times New Roman"/>
            <w:noProof/>
            <w:webHidden/>
          </w:rPr>
        </w:r>
        <w:r w:rsidR="00725B7B">
          <w:rPr>
            <w:rFonts w:eastAsia="Times New Roman"/>
            <w:noProof/>
            <w:webHidden/>
          </w:rPr>
          <w:fldChar w:fldCharType="separate"/>
        </w:r>
        <w:r w:rsidR="00725B7B">
          <w:rPr>
            <w:rFonts w:eastAsia="Times New Roman"/>
            <w:noProof/>
            <w:webHidden/>
          </w:rPr>
          <w:t>13</w:t>
        </w:r>
        <w:r w:rsidR="00725B7B">
          <w:rPr>
            <w:rFonts w:eastAsia="Times New Roman"/>
            <w:noProof/>
            <w:webHidden/>
          </w:rPr>
          <w:fldChar w:fldCharType="end"/>
        </w:r>
      </w:hyperlink>
    </w:p>
    <w:p w14:paraId="5F10DF79" w14:textId="173C080B" w:rsidR="00242C2D" w:rsidRPr="003F630C" w:rsidRDefault="00890CA6" w:rsidP="00800508">
      <w:pPr>
        <w:tabs>
          <w:tab w:val="right" w:leader="dot" w:pos="8630"/>
        </w:tabs>
        <w:spacing w:line="480" w:lineRule="auto"/>
        <w:rPr>
          <w:rFonts w:eastAsia="Times New Roman"/>
          <w:noProof/>
          <w:lang w:eastAsia="es-CO"/>
        </w:rPr>
      </w:pPr>
      <w:hyperlink w:anchor="_Toc410628930" w:history="1">
        <w:r w:rsidR="00F543F0">
          <w:rPr>
            <w:rFonts w:eastAsia="Times New Roman"/>
            <w:b/>
            <w:noProof/>
          </w:rPr>
          <w:t>Regímenes pensionales</w:t>
        </w:r>
        <w:r w:rsidR="00242C2D" w:rsidRPr="003F630C">
          <w:rPr>
            <w:rFonts w:eastAsia="Times New Roman"/>
            <w:noProof/>
            <w:webHidden/>
          </w:rPr>
          <w:tab/>
        </w:r>
        <w:r w:rsidR="00725B7B">
          <w:rPr>
            <w:rFonts w:eastAsia="Times New Roman"/>
            <w:noProof/>
            <w:webHidden/>
          </w:rPr>
          <w:fldChar w:fldCharType="begin"/>
        </w:r>
        <w:r w:rsidR="00725B7B">
          <w:rPr>
            <w:rFonts w:eastAsia="Times New Roman"/>
            <w:noProof/>
            <w:webHidden/>
          </w:rPr>
          <w:instrText xml:space="preserve"> PAGEREF Regímenes \h </w:instrText>
        </w:r>
        <w:r w:rsidR="00725B7B">
          <w:rPr>
            <w:rFonts w:eastAsia="Times New Roman"/>
            <w:noProof/>
            <w:webHidden/>
          </w:rPr>
        </w:r>
        <w:r w:rsidR="00725B7B">
          <w:rPr>
            <w:rFonts w:eastAsia="Times New Roman"/>
            <w:noProof/>
            <w:webHidden/>
          </w:rPr>
          <w:fldChar w:fldCharType="separate"/>
        </w:r>
        <w:r w:rsidR="00725B7B">
          <w:rPr>
            <w:rFonts w:eastAsia="Times New Roman"/>
            <w:noProof/>
            <w:webHidden/>
          </w:rPr>
          <w:t>13</w:t>
        </w:r>
        <w:r w:rsidR="00725B7B">
          <w:rPr>
            <w:rFonts w:eastAsia="Times New Roman"/>
            <w:noProof/>
            <w:webHidden/>
          </w:rPr>
          <w:fldChar w:fldCharType="end"/>
        </w:r>
      </w:hyperlink>
    </w:p>
    <w:p w14:paraId="6DFDB5FF" w14:textId="58AD8AD0" w:rsidR="00242C2D" w:rsidRPr="003F630C" w:rsidRDefault="00DB6FF1" w:rsidP="00800508">
      <w:pPr>
        <w:tabs>
          <w:tab w:val="right" w:leader="dot" w:pos="8630"/>
        </w:tabs>
        <w:spacing w:line="480" w:lineRule="auto"/>
        <w:rPr>
          <w:rFonts w:eastAsia="Times New Roman"/>
          <w:noProof/>
        </w:rPr>
      </w:pPr>
      <w:r>
        <w:rPr>
          <w:rFonts w:eastAsia="Times New Roman"/>
          <w:b/>
          <w:noProof/>
          <w:lang w:val="es-CO"/>
        </w:rPr>
        <w:t>Sobre el a</w:t>
      </w:r>
      <w:r w:rsidR="00F543F0">
        <w:rPr>
          <w:rFonts w:eastAsia="Times New Roman"/>
          <w:b/>
          <w:noProof/>
          <w:lang w:val="es-CO"/>
        </w:rPr>
        <w:t>cto jurídico de afiliación</w:t>
      </w:r>
      <w:hyperlink w:anchor="_Toc410628926" w:history="1">
        <w:r w:rsidR="00242C2D" w:rsidRPr="003F630C">
          <w:rPr>
            <w:rFonts w:eastAsia="Times New Roman"/>
            <w:noProof/>
            <w:webHidden/>
          </w:rPr>
          <w:tab/>
        </w:r>
        <w:r w:rsidR="00725B7B">
          <w:rPr>
            <w:rFonts w:eastAsia="Times New Roman"/>
            <w:noProof/>
            <w:webHidden/>
          </w:rPr>
          <w:fldChar w:fldCharType="begin"/>
        </w:r>
        <w:r w:rsidR="00725B7B">
          <w:rPr>
            <w:rFonts w:eastAsia="Times New Roman"/>
            <w:noProof/>
            <w:webHidden/>
          </w:rPr>
          <w:instrText xml:space="preserve"> PAGEREF Afiliación \h </w:instrText>
        </w:r>
        <w:r w:rsidR="00725B7B">
          <w:rPr>
            <w:rFonts w:eastAsia="Times New Roman"/>
            <w:noProof/>
            <w:webHidden/>
          </w:rPr>
        </w:r>
        <w:r w:rsidR="00725B7B">
          <w:rPr>
            <w:rFonts w:eastAsia="Times New Roman"/>
            <w:noProof/>
            <w:webHidden/>
          </w:rPr>
          <w:fldChar w:fldCharType="separate"/>
        </w:r>
        <w:r w:rsidR="00725B7B">
          <w:rPr>
            <w:rFonts w:eastAsia="Times New Roman"/>
            <w:noProof/>
            <w:webHidden/>
          </w:rPr>
          <w:t>14</w:t>
        </w:r>
        <w:r w:rsidR="00725B7B">
          <w:rPr>
            <w:rFonts w:eastAsia="Times New Roman"/>
            <w:noProof/>
            <w:webHidden/>
          </w:rPr>
          <w:fldChar w:fldCharType="end"/>
        </w:r>
      </w:hyperlink>
    </w:p>
    <w:p w14:paraId="393BE3E9" w14:textId="14AD5308" w:rsidR="00242C2D" w:rsidRDefault="00256C39" w:rsidP="00800508">
      <w:pPr>
        <w:tabs>
          <w:tab w:val="right" w:leader="dot" w:pos="8630"/>
        </w:tabs>
        <w:spacing w:line="480" w:lineRule="auto"/>
        <w:rPr>
          <w:rFonts w:eastAsia="Times New Roman"/>
          <w:noProof/>
        </w:rPr>
      </w:pPr>
      <w:r>
        <w:rPr>
          <w:rFonts w:eastAsia="Times New Roman"/>
          <w:b/>
          <w:noProof/>
          <w:lang w:val="es-CO"/>
        </w:rPr>
        <w:t xml:space="preserve">Sobre el acto jurídico de traslado de régimen </w:t>
      </w:r>
      <w:hyperlink w:anchor="_Toc410628926" w:history="1">
        <w:r w:rsidR="00242C2D" w:rsidRPr="003F630C">
          <w:rPr>
            <w:rFonts w:eastAsia="Times New Roman"/>
            <w:noProof/>
            <w:webHidden/>
          </w:rPr>
          <w:tab/>
        </w:r>
        <w:r w:rsidR="00725B7B">
          <w:rPr>
            <w:rFonts w:eastAsia="Times New Roman"/>
            <w:noProof/>
            <w:webHidden/>
          </w:rPr>
          <w:fldChar w:fldCharType="begin"/>
        </w:r>
        <w:r w:rsidR="00725B7B">
          <w:rPr>
            <w:rFonts w:eastAsia="Times New Roman"/>
            <w:noProof/>
            <w:webHidden/>
          </w:rPr>
          <w:instrText xml:space="preserve"> PAGEREF Traslado \h </w:instrText>
        </w:r>
        <w:r w:rsidR="00725B7B">
          <w:rPr>
            <w:rFonts w:eastAsia="Times New Roman"/>
            <w:noProof/>
            <w:webHidden/>
          </w:rPr>
        </w:r>
        <w:r w:rsidR="00725B7B">
          <w:rPr>
            <w:rFonts w:eastAsia="Times New Roman"/>
            <w:noProof/>
            <w:webHidden/>
          </w:rPr>
          <w:fldChar w:fldCharType="separate"/>
        </w:r>
        <w:r w:rsidR="00725B7B">
          <w:rPr>
            <w:rFonts w:eastAsia="Times New Roman"/>
            <w:noProof/>
            <w:webHidden/>
          </w:rPr>
          <w:t>17</w:t>
        </w:r>
        <w:r w:rsidR="00725B7B">
          <w:rPr>
            <w:rFonts w:eastAsia="Times New Roman"/>
            <w:noProof/>
            <w:webHidden/>
          </w:rPr>
          <w:fldChar w:fldCharType="end"/>
        </w:r>
      </w:hyperlink>
    </w:p>
    <w:p w14:paraId="7F44200A" w14:textId="5ED4C532" w:rsidR="00256C39" w:rsidRDefault="00256C39" w:rsidP="00800508">
      <w:pPr>
        <w:tabs>
          <w:tab w:val="right" w:leader="dot" w:pos="8630"/>
        </w:tabs>
        <w:spacing w:line="480" w:lineRule="auto"/>
        <w:rPr>
          <w:rFonts w:eastAsia="Times New Roman"/>
          <w:noProof/>
        </w:rPr>
      </w:pPr>
      <w:r>
        <w:rPr>
          <w:rFonts w:eastAsia="Times New Roman"/>
          <w:b/>
          <w:noProof/>
          <w:lang w:val="es-CO"/>
        </w:rPr>
        <w:t>Sobre la ineficacia del traslado</w:t>
      </w:r>
      <w:hyperlink w:anchor="_Toc410628926" w:history="1">
        <w:r w:rsidRPr="003F630C">
          <w:rPr>
            <w:rFonts w:eastAsia="Times New Roman"/>
            <w:noProof/>
            <w:webHidden/>
          </w:rPr>
          <w:tab/>
        </w:r>
        <w:r w:rsidR="00725B7B">
          <w:rPr>
            <w:rFonts w:eastAsia="Times New Roman"/>
            <w:noProof/>
            <w:webHidden/>
          </w:rPr>
          <w:fldChar w:fldCharType="begin"/>
        </w:r>
        <w:r w:rsidR="00725B7B">
          <w:rPr>
            <w:rFonts w:eastAsia="Times New Roman"/>
            <w:noProof/>
            <w:webHidden/>
          </w:rPr>
          <w:instrText xml:space="preserve"> PAGEREF Ineficacia \h </w:instrText>
        </w:r>
        <w:r w:rsidR="00725B7B">
          <w:rPr>
            <w:rFonts w:eastAsia="Times New Roman"/>
            <w:noProof/>
            <w:webHidden/>
          </w:rPr>
        </w:r>
        <w:r w:rsidR="00725B7B">
          <w:rPr>
            <w:rFonts w:eastAsia="Times New Roman"/>
            <w:noProof/>
            <w:webHidden/>
          </w:rPr>
          <w:fldChar w:fldCharType="separate"/>
        </w:r>
        <w:r w:rsidR="00725B7B">
          <w:rPr>
            <w:rFonts w:eastAsia="Times New Roman"/>
            <w:noProof/>
            <w:webHidden/>
          </w:rPr>
          <w:t>19</w:t>
        </w:r>
        <w:r w:rsidR="00725B7B">
          <w:rPr>
            <w:rFonts w:eastAsia="Times New Roman"/>
            <w:noProof/>
            <w:webHidden/>
          </w:rPr>
          <w:fldChar w:fldCharType="end"/>
        </w:r>
      </w:hyperlink>
    </w:p>
    <w:p w14:paraId="336A1123" w14:textId="026FD7E1" w:rsidR="00AB0F9E" w:rsidRDefault="00AB0F9E" w:rsidP="00AB0F9E">
      <w:pPr>
        <w:tabs>
          <w:tab w:val="right" w:leader="dot" w:pos="8630"/>
        </w:tabs>
        <w:spacing w:line="480" w:lineRule="auto"/>
        <w:rPr>
          <w:rFonts w:eastAsia="Times New Roman"/>
          <w:noProof/>
        </w:rPr>
      </w:pPr>
      <w:r>
        <w:rPr>
          <w:rFonts w:eastAsia="Times New Roman"/>
          <w:b/>
          <w:noProof/>
          <w:lang w:val="es-CO"/>
        </w:rPr>
        <w:t>D</w:t>
      </w:r>
      <w:r w:rsidRPr="00256C39">
        <w:rPr>
          <w:rFonts w:eastAsia="Times New Roman"/>
          <w:b/>
          <w:noProof/>
          <w:lang w:val="es-CO"/>
        </w:rPr>
        <w:t xml:space="preserve">eber de información </w:t>
      </w:r>
      <w:r>
        <w:rPr>
          <w:rFonts w:eastAsia="Times New Roman"/>
          <w:b/>
          <w:noProof/>
          <w:lang w:val="es-CO"/>
        </w:rPr>
        <w:t xml:space="preserve">por parte de las AFP </w:t>
      </w:r>
      <w:r w:rsidRPr="00256C39">
        <w:rPr>
          <w:rFonts w:eastAsia="Times New Roman"/>
          <w:b/>
          <w:noProof/>
          <w:lang w:val="es-CO"/>
        </w:rPr>
        <w:t>al momento del acto jurídico de afiliación o</w:t>
      </w:r>
      <w:r>
        <w:rPr>
          <w:rFonts w:eastAsia="Times New Roman"/>
          <w:b/>
          <w:noProof/>
          <w:lang w:val="es-CO"/>
        </w:rPr>
        <w:t xml:space="preserve"> traslado de fondo de pensiones</w:t>
      </w:r>
      <w:hyperlink w:anchor="_Toc410628926" w:history="1">
        <w:r w:rsidRPr="003F630C">
          <w:rPr>
            <w:rFonts w:eastAsia="Times New Roman"/>
            <w:noProof/>
            <w:webHidden/>
          </w:rPr>
          <w:tab/>
        </w:r>
        <w:r w:rsidR="00725B7B">
          <w:rPr>
            <w:rFonts w:eastAsia="Times New Roman"/>
            <w:noProof/>
            <w:webHidden/>
          </w:rPr>
          <w:fldChar w:fldCharType="begin"/>
        </w:r>
        <w:r w:rsidR="00725B7B">
          <w:rPr>
            <w:rFonts w:eastAsia="Times New Roman"/>
            <w:noProof/>
            <w:webHidden/>
          </w:rPr>
          <w:instrText xml:space="preserve"> PAGEREF Recuento \h </w:instrText>
        </w:r>
        <w:r w:rsidR="00725B7B">
          <w:rPr>
            <w:rFonts w:eastAsia="Times New Roman"/>
            <w:noProof/>
            <w:webHidden/>
          </w:rPr>
        </w:r>
        <w:r w:rsidR="00725B7B">
          <w:rPr>
            <w:rFonts w:eastAsia="Times New Roman"/>
            <w:noProof/>
            <w:webHidden/>
          </w:rPr>
          <w:fldChar w:fldCharType="separate"/>
        </w:r>
        <w:r w:rsidR="00725B7B">
          <w:rPr>
            <w:rFonts w:eastAsia="Times New Roman"/>
            <w:noProof/>
            <w:webHidden/>
          </w:rPr>
          <w:t>23</w:t>
        </w:r>
        <w:r w:rsidR="00725B7B">
          <w:rPr>
            <w:rFonts w:eastAsia="Times New Roman"/>
            <w:noProof/>
            <w:webHidden/>
          </w:rPr>
          <w:fldChar w:fldCharType="end"/>
        </w:r>
      </w:hyperlink>
    </w:p>
    <w:p w14:paraId="738E0CF3" w14:textId="27B262C2" w:rsidR="00256C39" w:rsidRDefault="00786296" w:rsidP="00800508">
      <w:pPr>
        <w:tabs>
          <w:tab w:val="right" w:leader="dot" w:pos="8630"/>
        </w:tabs>
        <w:spacing w:line="480" w:lineRule="auto"/>
        <w:rPr>
          <w:rFonts w:eastAsia="Times New Roman"/>
          <w:noProof/>
        </w:rPr>
      </w:pPr>
      <w:r>
        <w:rPr>
          <w:b/>
          <w:lang w:val="es-ES"/>
        </w:rPr>
        <w:t>Jurisprudencia de la Sala Laboral de la Corte Suprema de Justicia relativa a la Ineficacia del Traslado</w:t>
      </w:r>
      <w:hyperlink w:anchor="_Toc410628926" w:history="1">
        <w:r w:rsidR="00256C39" w:rsidRPr="003F630C">
          <w:rPr>
            <w:rFonts w:eastAsia="Times New Roman"/>
            <w:noProof/>
            <w:webHidden/>
          </w:rPr>
          <w:tab/>
        </w:r>
        <w:r w:rsidR="00725B7B">
          <w:rPr>
            <w:rFonts w:eastAsia="Times New Roman"/>
            <w:noProof/>
            <w:webHidden/>
          </w:rPr>
          <w:fldChar w:fldCharType="begin"/>
        </w:r>
        <w:r w:rsidR="00725B7B">
          <w:rPr>
            <w:rFonts w:eastAsia="Times New Roman"/>
            <w:noProof/>
            <w:webHidden/>
          </w:rPr>
          <w:instrText xml:space="preserve"> PAGEREF Cuadros \h </w:instrText>
        </w:r>
        <w:r w:rsidR="00725B7B">
          <w:rPr>
            <w:rFonts w:eastAsia="Times New Roman"/>
            <w:noProof/>
            <w:webHidden/>
          </w:rPr>
        </w:r>
        <w:r w:rsidR="00725B7B">
          <w:rPr>
            <w:rFonts w:eastAsia="Times New Roman"/>
            <w:noProof/>
            <w:webHidden/>
          </w:rPr>
          <w:fldChar w:fldCharType="separate"/>
        </w:r>
        <w:r w:rsidR="00725B7B">
          <w:rPr>
            <w:rFonts w:eastAsia="Times New Roman"/>
            <w:noProof/>
            <w:webHidden/>
          </w:rPr>
          <w:t>28</w:t>
        </w:r>
        <w:r w:rsidR="00725B7B">
          <w:rPr>
            <w:rFonts w:eastAsia="Times New Roman"/>
            <w:noProof/>
            <w:webHidden/>
          </w:rPr>
          <w:fldChar w:fldCharType="end"/>
        </w:r>
      </w:hyperlink>
    </w:p>
    <w:p w14:paraId="11260FFC" w14:textId="33E227E0" w:rsidR="005E2343" w:rsidRPr="003F630C" w:rsidRDefault="00786296" w:rsidP="00800508">
      <w:pPr>
        <w:tabs>
          <w:tab w:val="right" w:leader="dot" w:pos="8630"/>
        </w:tabs>
        <w:spacing w:line="480" w:lineRule="auto"/>
        <w:rPr>
          <w:rFonts w:eastAsia="Times New Roman"/>
          <w:noProof/>
          <w:lang w:val="es-CO"/>
        </w:rPr>
      </w:pPr>
      <w:r>
        <w:rPr>
          <w:rFonts w:eastAsia="Times New Roman"/>
          <w:b/>
          <w:noProof/>
          <w:lang w:val="es-CO"/>
        </w:rPr>
        <w:t>Indemnización de perjuicios</w:t>
      </w:r>
      <w:hyperlink w:anchor="_Toc410628926" w:history="1">
        <w:r w:rsidR="005E2343" w:rsidRPr="003F630C">
          <w:rPr>
            <w:rFonts w:eastAsia="Times New Roman"/>
            <w:noProof/>
            <w:webHidden/>
          </w:rPr>
          <w:tab/>
        </w:r>
        <w:r w:rsidR="00725B7B">
          <w:rPr>
            <w:rFonts w:eastAsia="Times New Roman"/>
            <w:noProof/>
            <w:webHidden/>
          </w:rPr>
          <w:fldChar w:fldCharType="begin"/>
        </w:r>
        <w:r w:rsidR="00725B7B">
          <w:rPr>
            <w:rFonts w:eastAsia="Times New Roman"/>
            <w:noProof/>
            <w:webHidden/>
          </w:rPr>
          <w:instrText xml:space="preserve"> PAGEREF Perjuicios \h </w:instrText>
        </w:r>
        <w:r w:rsidR="00725B7B">
          <w:rPr>
            <w:rFonts w:eastAsia="Times New Roman"/>
            <w:noProof/>
            <w:webHidden/>
          </w:rPr>
        </w:r>
        <w:r w:rsidR="00725B7B">
          <w:rPr>
            <w:rFonts w:eastAsia="Times New Roman"/>
            <w:noProof/>
            <w:webHidden/>
          </w:rPr>
          <w:fldChar w:fldCharType="separate"/>
        </w:r>
        <w:r w:rsidR="00725B7B">
          <w:rPr>
            <w:rFonts w:eastAsia="Times New Roman"/>
            <w:noProof/>
            <w:webHidden/>
          </w:rPr>
          <w:t>60</w:t>
        </w:r>
        <w:r w:rsidR="00725B7B">
          <w:rPr>
            <w:rFonts w:eastAsia="Times New Roman"/>
            <w:noProof/>
            <w:webHidden/>
          </w:rPr>
          <w:fldChar w:fldCharType="end"/>
        </w:r>
      </w:hyperlink>
    </w:p>
    <w:p w14:paraId="79E3CA4D" w14:textId="239AA4FD" w:rsidR="005C0503" w:rsidRPr="003F630C" w:rsidRDefault="005C0503" w:rsidP="005C0503">
      <w:pPr>
        <w:tabs>
          <w:tab w:val="right" w:leader="dot" w:pos="8630"/>
        </w:tabs>
        <w:spacing w:line="480" w:lineRule="auto"/>
        <w:rPr>
          <w:rFonts w:eastAsia="Times New Roman"/>
          <w:noProof/>
          <w:lang w:val="es-CO"/>
        </w:rPr>
      </w:pPr>
      <w:r>
        <w:rPr>
          <w:rFonts w:eastAsia="Times New Roman"/>
          <w:b/>
          <w:noProof/>
          <w:lang w:val="es-CO"/>
        </w:rPr>
        <w:t>Figura 1. Síntesis de la ineficacia del traslado</w:t>
      </w:r>
      <w:r w:rsidR="00812AF5">
        <w:rPr>
          <w:rFonts w:eastAsia="Times New Roman"/>
          <w:b/>
          <w:noProof/>
          <w:lang w:val="es-CO"/>
        </w:rPr>
        <w:t xml:space="preserve"> e indemnización de perjuicios</w:t>
      </w:r>
      <w:hyperlink w:anchor="_Toc410628926" w:history="1">
        <w:r w:rsidRPr="003F630C">
          <w:rPr>
            <w:rFonts w:eastAsia="Times New Roman"/>
            <w:noProof/>
            <w:webHidden/>
          </w:rPr>
          <w:tab/>
        </w:r>
        <w:r w:rsidR="00725B7B">
          <w:rPr>
            <w:rFonts w:eastAsia="Times New Roman"/>
            <w:noProof/>
            <w:webHidden/>
          </w:rPr>
          <w:fldChar w:fldCharType="begin"/>
        </w:r>
        <w:r w:rsidR="00725B7B">
          <w:rPr>
            <w:rFonts w:eastAsia="Times New Roman"/>
            <w:noProof/>
            <w:webHidden/>
          </w:rPr>
          <w:instrText xml:space="preserve"> PAGEREF Figura1 \h </w:instrText>
        </w:r>
        <w:r w:rsidR="00725B7B">
          <w:rPr>
            <w:rFonts w:eastAsia="Times New Roman"/>
            <w:noProof/>
            <w:webHidden/>
          </w:rPr>
        </w:r>
        <w:r w:rsidR="00725B7B">
          <w:rPr>
            <w:rFonts w:eastAsia="Times New Roman"/>
            <w:noProof/>
            <w:webHidden/>
          </w:rPr>
          <w:fldChar w:fldCharType="separate"/>
        </w:r>
        <w:r w:rsidR="00725B7B">
          <w:rPr>
            <w:rFonts w:eastAsia="Times New Roman"/>
            <w:noProof/>
            <w:webHidden/>
          </w:rPr>
          <w:t>69</w:t>
        </w:r>
        <w:r w:rsidR="00725B7B">
          <w:rPr>
            <w:rFonts w:eastAsia="Times New Roman"/>
            <w:noProof/>
            <w:webHidden/>
          </w:rPr>
          <w:fldChar w:fldCharType="end"/>
        </w:r>
      </w:hyperlink>
    </w:p>
    <w:p w14:paraId="7C4000A6" w14:textId="1F1F22DC" w:rsidR="005E2343" w:rsidRDefault="00786296" w:rsidP="00800508">
      <w:pPr>
        <w:tabs>
          <w:tab w:val="right" w:leader="dot" w:pos="8630"/>
        </w:tabs>
        <w:spacing w:line="480" w:lineRule="auto"/>
        <w:rPr>
          <w:rFonts w:eastAsia="Times New Roman"/>
          <w:noProof/>
        </w:rPr>
      </w:pPr>
      <w:r>
        <w:rPr>
          <w:rFonts w:eastAsia="Times New Roman"/>
          <w:b/>
          <w:noProof/>
          <w:lang w:val="es-CO"/>
        </w:rPr>
        <w:t>Responsabilidad estatal</w:t>
      </w:r>
      <w:r>
        <w:t xml:space="preserve"> </w:t>
      </w:r>
      <w:hyperlink w:anchor="_Toc410628926" w:history="1">
        <w:r w:rsidR="005E2343" w:rsidRPr="003F630C">
          <w:rPr>
            <w:rFonts w:eastAsia="Times New Roman"/>
            <w:noProof/>
            <w:webHidden/>
          </w:rPr>
          <w:tab/>
        </w:r>
        <w:r w:rsidR="00725B7B">
          <w:rPr>
            <w:rFonts w:eastAsia="Times New Roman"/>
            <w:noProof/>
            <w:webHidden/>
          </w:rPr>
          <w:fldChar w:fldCharType="begin"/>
        </w:r>
        <w:r w:rsidR="00725B7B">
          <w:rPr>
            <w:rFonts w:eastAsia="Times New Roman"/>
            <w:noProof/>
            <w:webHidden/>
          </w:rPr>
          <w:instrText xml:space="preserve"> PAGEREF Responsabilidad \h </w:instrText>
        </w:r>
        <w:r w:rsidR="00725B7B">
          <w:rPr>
            <w:rFonts w:eastAsia="Times New Roman"/>
            <w:noProof/>
            <w:webHidden/>
          </w:rPr>
        </w:r>
        <w:r w:rsidR="00725B7B">
          <w:rPr>
            <w:rFonts w:eastAsia="Times New Roman"/>
            <w:noProof/>
            <w:webHidden/>
          </w:rPr>
          <w:fldChar w:fldCharType="separate"/>
        </w:r>
        <w:r w:rsidR="00725B7B">
          <w:rPr>
            <w:rFonts w:eastAsia="Times New Roman"/>
            <w:noProof/>
            <w:webHidden/>
          </w:rPr>
          <w:t>70</w:t>
        </w:r>
        <w:r w:rsidR="00725B7B">
          <w:rPr>
            <w:rFonts w:eastAsia="Times New Roman"/>
            <w:noProof/>
            <w:webHidden/>
          </w:rPr>
          <w:fldChar w:fldCharType="end"/>
        </w:r>
      </w:hyperlink>
    </w:p>
    <w:p w14:paraId="493A8DF8" w14:textId="0E2955ED" w:rsidR="005C0503" w:rsidRDefault="005C0503" w:rsidP="005C0503">
      <w:pPr>
        <w:tabs>
          <w:tab w:val="right" w:leader="dot" w:pos="8630"/>
        </w:tabs>
        <w:spacing w:line="480" w:lineRule="auto"/>
        <w:rPr>
          <w:rFonts w:eastAsia="Times New Roman"/>
          <w:noProof/>
        </w:rPr>
      </w:pPr>
      <w:r>
        <w:rPr>
          <w:rFonts w:eastAsia="Times New Roman"/>
          <w:b/>
          <w:noProof/>
          <w:lang w:val="es-CO"/>
        </w:rPr>
        <w:t xml:space="preserve">Figura 2. </w:t>
      </w:r>
      <w:r w:rsidRPr="005C0503">
        <w:rPr>
          <w:rFonts w:eastAsia="Times New Roman"/>
          <w:b/>
          <w:noProof/>
          <w:lang w:val="es-CO"/>
        </w:rPr>
        <w:t>Síntesis de la responsabilidad de la Superintendencia Financiera de Co</w:t>
      </w:r>
      <w:r>
        <w:rPr>
          <w:rFonts w:eastAsia="Times New Roman"/>
          <w:b/>
          <w:noProof/>
          <w:lang w:val="es-CO"/>
        </w:rPr>
        <w:t>lombia por falla en el servicio</w:t>
      </w:r>
      <w:hyperlink w:anchor="_Toc410628926" w:history="1">
        <w:r w:rsidRPr="003F630C">
          <w:rPr>
            <w:rFonts w:eastAsia="Times New Roman"/>
            <w:noProof/>
            <w:webHidden/>
          </w:rPr>
          <w:tab/>
        </w:r>
        <w:r w:rsidR="00725B7B">
          <w:rPr>
            <w:rFonts w:eastAsia="Times New Roman"/>
            <w:noProof/>
            <w:webHidden/>
          </w:rPr>
          <w:fldChar w:fldCharType="begin"/>
        </w:r>
        <w:r w:rsidR="00725B7B">
          <w:rPr>
            <w:rFonts w:eastAsia="Times New Roman"/>
            <w:noProof/>
            <w:webHidden/>
          </w:rPr>
          <w:instrText xml:space="preserve"> PAGEREF Figura2 \h </w:instrText>
        </w:r>
        <w:r w:rsidR="00725B7B">
          <w:rPr>
            <w:rFonts w:eastAsia="Times New Roman"/>
            <w:noProof/>
            <w:webHidden/>
          </w:rPr>
        </w:r>
        <w:r w:rsidR="00725B7B">
          <w:rPr>
            <w:rFonts w:eastAsia="Times New Roman"/>
            <w:noProof/>
            <w:webHidden/>
          </w:rPr>
          <w:fldChar w:fldCharType="separate"/>
        </w:r>
        <w:r w:rsidR="00725B7B">
          <w:rPr>
            <w:rFonts w:eastAsia="Times New Roman"/>
            <w:noProof/>
            <w:webHidden/>
          </w:rPr>
          <w:t>79</w:t>
        </w:r>
        <w:r w:rsidR="00725B7B">
          <w:rPr>
            <w:rFonts w:eastAsia="Times New Roman"/>
            <w:noProof/>
            <w:webHidden/>
          </w:rPr>
          <w:fldChar w:fldCharType="end"/>
        </w:r>
      </w:hyperlink>
    </w:p>
    <w:p w14:paraId="0B0EFF11" w14:textId="46078638" w:rsidR="00256C39" w:rsidRDefault="00786296" w:rsidP="00800508">
      <w:pPr>
        <w:tabs>
          <w:tab w:val="right" w:leader="dot" w:pos="8630"/>
        </w:tabs>
        <w:spacing w:line="480" w:lineRule="auto"/>
        <w:rPr>
          <w:rFonts w:eastAsia="Times New Roman"/>
          <w:noProof/>
        </w:rPr>
      </w:pPr>
      <w:r>
        <w:rPr>
          <w:rFonts w:eastAsia="Times New Roman"/>
          <w:b/>
          <w:noProof/>
          <w:lang w:val="es-CO"/>
        </w:rPr>
        <w:t>Conclusiones</w:t>
      </w:r>
      <w:hyperlink w:anchor="_Toc410628926" w:history="1">
        <w:r w:rsidR="00256C39" w:rsidRPr="003F630C">
          <w:rPr>
            <w:rFonts w:eastAsia="Times New Roman"/>
            <w:noProof/>
            <w:webHidden/>
          </w:rPr>
          <w:tab/>
        </w:r>
        <w:r w:rsidR="00725B7B">
          <w:rPr>
            <w:rFonts w:eastAsia="Times New Roman"/>
            <w:noProof/>
            <w:webHidden/>
          </w:rPr>
          <w:fldChar w:fldCharType="begin"/>
        </w:r>
        <w:r w:rsidR="00725B7B">
          <w:rPr>
            <w:rFonts w:eastAsia="Times New Roman"/>
            <w:noProof/>
            <w:webHidden/>
          </w:rPr>
          <w:instrText xml:space="preserve"> PAGEREF Conclusiones \h </w:instrText>
        </w:r>
        <w:r w:rsidR="00725B7B">
          <w:rPr>
            <w:rFonts w:eastAsia="Times New Roman"/>
            <w:noProof/>
            <w:webHidden/>
          </w:rPr>
        </w:r>
        <w:r w:rsidR="00725B7B">
          <w:rPr>
            <w:rFonts w:eastAsia="Times New Roman"/>
            <w:noProof/>
            <w:webHidden/>
          </w:rPr>
          <w:fldChar w:fldCharType="separate"/>
        </w:r>
        <w:r w:rsidR="00725B7B">
          <w:rPr>
            <w:rFonts w:eastAsia="Times New Roman"/>
            <w:noProof/>
            <w:webHidden/>
          </w:rPr>
          <w:t>80</w:t>
        </w:r>
        <w:r w:rsidR="00725B7B">
          <w:rPr>
            <w:rFonts w:eastAsia="Times New Roman"/>
            <w:noProof/>
            <w:webHidden/>
          </w:rPr>
          <w:fldChar w:fldCharType="end"/>
        </w:r>
      </w:hyperlink>
    </w:p>
    <w:p w14:paraId="62B0CE95" w14:textId="0BF549CB" w:rsidR="00786296" w:rsidRPr="003F630C" w:rsidRDefault="00786296" w:rsidP="00800508">
      <w:pPr>
        <w:tabs>
          <w:tab w:val="right" w:leader="dot" w:pos="8630"/>
        </w:tabs>
        <w:spacing w:line="480" w:lineRule="auto"/>
        <w:rPr>
          <w:rFonts w:eastAsia="Times New Roman"/>
          <w:noProof/>
          <w:lang w:val="es-CO"/>
        </w:rPr>
      </w:pPr>
      <w:r w:rsidRPr="003F630C">
        <w:rPr>
          <w:rFonts w:eastAsia="Times New Roman"/>
          <w:b/>
          <w:noProof/>
          <w:lang w:val="es-CO"/>
        </w:rPr>
        <w:t>Referencias</w:t>
      </w:r>
      <w:hyperlink w:anchor="_Toc410628926" w:history="1">
        <w:r w:rsidRPr="003F630C">
          <w:rPr>
            <w:rFonts w:eastAsia="Times New Roman"/>
            <w:noProof/>
            <w:webHidden/>
          </w:rPr>
          <w:tab/>
        </w:r>
        <w:r w:rsidR="00725B7B">
          <w:rPr>
            <w:rFonts w:eastAsia="Times New Roman"/>
            <w:noProof/>
            <w:webHidden/>
          </w:rPr>
          <w:fldChar w:fldCharType="begin"/>
        </w:r>
        <w:r w:rsidR="00725B7B">
          <w:rPr>
            <w:rFonts w:eastAsia="Times New Roman"/>
            <w:noProof/>
            <w:webHidden/>
          </w:rPr>
          <w:instrText xml:space="preserve"> PAGEREF Referencias \h </w:instrText>
        </w:r>
        <w:r w:rsidR="00725B7B">
          <w:rPr>
            <w:rFonts w:eastAsia="Times New Roman"/>
            <w:noProof/>
            <w:webHidden/>
          </w:rPr>
        </w:r>
        <w:r w:rsidR="00725B7B">
          <w:rPr>
            <w:rFonts w:eastAsia="Times New Roman"/>
            <w:noProof/>
            <w:webHidden/>
          </w:rPr>
          <w:fldChar w:fldCharType="separate"/>
        </w:r>
        <w:r w:rsidR="00725B7B">
          <w:rPr>
            <w:rFonts w:eastAsia="Times New Roman"/>
            <w:noProof/>
            <w:webHidden/>
          </w:rPr>
          <w:t>84</w:t>
        </w:r>
        <w:r w:rsidR="00725B7B">
          <w:rPr>
            <w:rFonts w:eastAsia="Times New Roman"/>
            <w:noProof/>
            <w:webHidden/>
          </w:rPr>
          <w:fldChar w:fldCharType="end"/>
        </w:r>
      </w:hyperlink>
    </w:p>
    <w:p w14:paraId="10D70C7C" w14:textId="333B57BD" w:rsidR="00AB63DB" w:rsidRDefault="00242C2D" w:rsidP="00F70150">
      <w:pPr>
        <w:spacing w:line="480" w:lineRule="auto"/>
        <w:rPr>
          <w:rFonts w:eastAsia="Century Gothic"/>
          <w:b/>
        </w:rPr>
      </w:pPr>
      <w:r w:rsidRPr="003F630C">
        <w:rPr>
          <w:rFonts w:eastAsia="Times New Roman"/>
          <w:b/>
          <w:bCs/>
        </w:rPr>
        <w:lastRenderedPageBreak/>
        <w:fldChar w:fldCharType="end"/>
      </w:r>
      <w:bookmarkStart w:id="1" w:name="Resumen"/>
      <w:r w:rsidR="00630B58" w:rsidRPr="009634E5">
        <w:rPr>
          <w:rFonts w:eastAsia="Century Gothic"/>
          <w:b/>
        </w:rPr>
        <w:t>Resumen</w:t>
      </w:r>
      <w:bookmarkEnd w:id="1"/>
    </w:p>
    <w:p w14:paraId="6D87DBD4" w14:textId="73750F94" w:rsidR="00630B58" w:rsidRDefault="00D42FB4" w:rsidP="00800508">
      <w:pPr>
        <w:spacing w:line="480" w:lineRule="auto"/>
        <w:ind w:firstLine="709"/>
        <w:rPr>
          <w:rFonts w:eastAsia="Century Gothic"/>
        </w:rPr>
      </w:pPr>
      <w:r>
        <w:rPr>
          <w:rFonts w:eastAsia="Century Gothic"/>
        </w:rPr>
        <w:t xml:space="preserve">La afiliación y el </w:t>
      </w:r>
      <w:r w:rsidR="00F82903" w:rsidRPr="00AB63DB">
        <w:rPr>
          <w:rFonts w:eastAsia="Century Gothic"/>
        </w:rPr>
        <w:t>traslado de régimen por part</w:t>
      </w:r>
      <w:r w:rsidR="008D11EF">
        <w:rPr>
          <w:rFonts w:eastAsia="Century Gothic"/>
        </w:rPr>
        <w:t xml:space="preserve">e del afiliado debe ser libre y </w:t>
      </w:r>
      <w:r w:rsidR="00F82903" w:rsidRPr="00AB63DB">
        <w:rPr>
          <w:rFonts w:eastAsia="Century Gothic"/>
        </w:rPr>
        <w:t>espontáneo, lo cual implica un deber de información</w:t>
      </w:r>
      <w:r w:rsidR="00F82903">
        <w:rPr>
          <w:rFonts w:eastAsia="Century Gothic"/>
        </w:rPr>
        <w:t xml:space="preserve">, asesoría, buen consejo y doble asesoría </w:t>
      </w:r>
      <w:r w:rsidR="00F82903" w:rsidRPr="00AB63DB">
        <w:rPr>
          <w:rFonts w:eastAsia="Century Gothic"/>
        </w:rPr>
        <w:t xml:space="preserve"> por parte de las Administradoras de Fondos de Pensiones, pues es necesario que la persona que desee realizar un</w:t>
      </w:r>
      <w:r w:rsidR="002D765F">
        <w:rPr>
          <w:rFonts w:eastAsia="Century Gothic"/>
        </w:rPr>
        <w:t>a afiliación o</w:t>
      </w:r>
      <w:r w:rsidR="00F82903" w:rsidRPr="00AB63DB">
        <w:rPr>
          <w:rFonts w:eastAsia="Century Gothic"/>
        </w:rPr>
        <w:t xml:space="preserve"> traslado conozca a fondo </w:t>
      </w:r>
      <w:r w:rsidR="00F82903" w:rsidRPr="00C97613">
        <w:rPr>
          <w:lang w:val="es-ES"/>
        </w:rPr>
        <w:t>las características, condiciones, ben</w:t>
      </w:r>
      <w:r w:rsidR="00F82903">
        <w:rPr>
          <w:lang w:val="es-ES"/>
        </w:rPr>
        <w:t xml:space="preserve">eficios, diferencias, riesgos, </w:t>
      </w:r>
      <w:r w:rsidR="00F82903" w:rsidRPr="00C97613">
        <w:rPr>
          <w:lang w:val="es-ES"/>
        </w:rPr>
        <w:t>consecuencias del cambio de régimen pensional</w:t>
      </w:r>
      <w:r w:rsidR="000325AF">
        <w:rPr>
          <w:lang w:val="es-ES"/>
        </w:rPr>
        <w:t xml:space="preserve"> y además</w:t>
      </w:r>
      <w:r w:rsidR="00F82903">
        <w:rPr>
          <w:lang w:val="es-ES"/>
        </w:rPr>
        <w:t xml:space="preserve"> </w:t>
      </w:r>
      <w:r w:rsidR="000325AF">
        <w:rPr>
          <w:lang w:val="es-ES"/>
        </w:rPr>
        <w:t xml:space="preserve">tiene </w:t>
      </w:r>
      <w:r w:rsidR="00F82903">
        <w:rPr>
          <w:lang w:val="es-ES"/>
        </w:rPr>
        <w:t>el derecho a obtener asesoría de los representantes de ambos regímenes pensionales</w:t>
      </w:r>
      <w:r w:rsidR="00CF6485">
        <w:rPr>
          <w:lang w:val="es-ES"/>
        </w:rPr>
        <w:t xml:space="preserve"> antes de los 10 años de alcanzar la edad para obtener la pensión de vejez</w:t>
      </w:r>
      <w:r w:rsidR="00F82903">
        <w:rPr>
          <w:lang w:val="es-ES"/>
        </w:rPr>
        <w:t xml:space="preserve">. </w:t>
      </w:r>
      <w:r w:rsidR="00F82903">
        <w:rPr>
          <w:rFonts w:eastAsia="Century Gothic"/>
        </w:rPr>
        <w:t>La falta a estos</w:t>
      </w:r>
      <w:r w:rsidR="00F82903" w:rsidRPr="00AB63DB">
        <w:rPr>
          <w:rFonts w:eastAsia="Century Gothic"/>
        </w:rPr>
        <w:t xml:space="preserve"> deber</w:t>
      </w:r>
      <w:r w:rsidR="00F82903">
        <w:rPr>
          <w:rFonts w:eastAsia="Century Gothic"/>
        </w:rPr>
        <w:t>es</w:t>
      </w:r>
      <w:r w:rsidR="00F82903" w:rsidRPr="00AB63DB">
        <w:rPr>
          <w:rFonts w:eastAsia="Century Gothic"/>
        </w:rPr>
        <w:t xml:space="preserve"> conlleva a la ineficacia del traslado que se haya efectuado bajo tal trasgresión, con el fin de que esta se realice nuevamente en debida forma</w:t>
      </w:r>
      <w:r w:rsidR="00F82903">
        <w:rPr>
          <w:rFonts w:eastAsia="Century Gothic"/>
        </w:rPr>
        <w:t xml:space="preserve">. </w:t>
      </w:r>
    </w:p>
    <w:p w14:paraId="090DEF6F" w14:textId="2ED58298" w:rsidR="00AB63DB" w:rsidRPr="00AB63DB" w:rsidRDefault="00AB63DB" w:rsidP="00800508">
      <w:pPr>
        <w:spacing w:line="480" w:lineRule="auto"/>
        <w:ind w:firstLine="709"/>
        <w:rPr>
          <w:rFonts w:eastAsia="Century Gothic"/>
        </w:rPr>
      </w:pPr>
      <w:r w:rsidRPr="00AB63DB">
        <w:rPr>
          <w:rFonts w:eastAsia="Century Gothic"/>
        </w:rPr>
        <w:t xml:space="preserve"> Así las cosas, es menester determinar cuál es la responsabilidad de los diferentes actores del Sistema General de Pensiones, </w:t>
      </w:r>
      <w:r w:rsidR="00631840">
        <w:rPr>
          <w:rFonts w:eastAsia="Century Gothic"/>
        </w:rPr>
        <w:t xml:space="preserve">principalmente de </w:t>
      </w:r>
      <w:r w:rsidR="003F277C">
        <w:rPr>
          <w:rFonts w:eastAsia="Century Gothic"/>
        </w:rPr>
        <w:t xml:space="preserve">las Administradoras de Fondos </w:t>
      </w:r>
      <w:r w:rsidR="00631840">
        <w:rPr>
          <w:rFonts w:eastAsia="Century Gothic"/>
        </w:rPr>
        <w:t xml:space="preserve">de Pensiones </w:t>
      </w:r>
      <w:r w:rsidR="00EB0362">
        <w:rPr>
          <w:rFonts w:eastAsia="Century Gothic"/>
        </w:rPr>
        <w:t>y</w:t>
      </w:r>
      <w:r w:rsidR="003F277C">
        <w:rPr>
          <w:rFonts w:eastAsia="Century Gothic"/>
        </w:rPr>
        <w:t xml:space="preserve"> la Superintendencia Financiera de Colombia, entidad encargada de la inspección, vigilancia y control de las entidades financieras como lo son las </w:t>
      </w:r>
      <w:r w:rsidR="006E0596">
        <w:rPr>
          <w:rFonts w:eastAsia="Century Gothic"/>
        </w:rPr>
        <w:t>AFP</w:t>
      </w:r>
      <w:r w:rsidR="003F277C">
        <w:rPr>
          <w:rFonts w:eastAsia="Century Gothic"/>
        </w:rPr>
        <w:t xml:space="preserve">. </w:t>
      </w:r>
      <w:r w:rsidRPr="00AB63DB">
        <w:rPr>
          <w:rFonts w:eastAsia="Century Gothic"/>
        </w:rPr>
        <w:t xml:space="preserve">Es en este último caso en donde se podría establecer la responsabilidad estatal pues, </w:t>
      </w:r>
      <w:r w:rsidR="003F277C">
        <w:rPr>
          <w:rFonts w:eastAsia="Century Gothic"/>
        </w:rPr>
        <w:t>si se constituye</w:t>
      </w:r>
      <w:r w:rsidRPr="00AB63DB">
        <w:rPr>
          <w:rFonts w:eastAsia="Century Gothic"/>
        </w:rPr>
        <w:t xml:space="preserve"> una omisión por parte de dicha entidad, podría ser objeto de una acción de reparación directa </w:t>
      </w:r>
      <w:r w:rsidR="003F277C">
        <w:rPr>
          <w:rFonts w:eastAsia="Century Gothic"/>
        </w:rPr>
        <w:t xml:space="preserve">a favor del afiliado </w:t>
      </w:r>
      <w:r w:rsidRPr="00AB63DB">
        <w:rPr>
          <w:rFonts w:eastAsia="Century Gothic"/>
        </w:rPr>
        <w:t>al presentarse una falla en el servicio.</w:t>
      </w:r>
    </w:p>
    <w:p w14:paraId="1E8D3BF9" w14:textId="77777777" w:rsidR="00800508" w:rsidRDefault="00800508" w:rsidP="00800508">
      <w:pPr>
        <w:spacing w:line="480" w:lineRule="auto"/>
        <w:rPr>
          <w:rFonts w:eastAsia="Century Gothic"/>
          <w:b/>
        </w:rPr>
      </w:pPr>
      <w:bookmarkStart w:id="2" w:name="Palabras_Clave"/>
    </w:p>
    <w:p w14:paraId="096AED8A" w14:textId="45AA29BB" w:rsidR="00F70150" w:rsidRDefault="00F70150" w:rsidP="00800508">
      <w:pPr>
        <w:spacing w:line="480" w:lineRule="auto"/>
        <w:rPr>
          <w:rFonts w:eastAsia="Century Gothic"/>
          <w:b/>
        </w:rPr>
      </w:pPr>
      <w:r w:rsidRPr="009634E5">
        <w:rPr>
          <w:rFonts w:eastAsia="Century Gothic"/>
          <w:b/>
        </w:rPr>
        <w:t>P</w:t>
      </w:r>
      <w:r w:rsidR="00630B58" w:rsidRPr="009634E5">
        <w:rPr>
          <w:rFonts w:eastAsia="Century Gothic"/>
          <w:b/>
        </w:rPr>
        <w:t>alabras claves</w:t>
      </w:r>
    </w:p>
    <w:bookmarkEnd w:id="2"/>
    <w:p w14:paraId="343F3783" w14:textId="77777777" w:rsidR="00325250" w:rsidRDefault="00F70150" w:rsidP="00800508">
      <w:pPr>
        <w:spacing w:line="480" w:lineRule="auto"/>
        <w:ind w:firstLine="709"/>
        <w:rPr>
          <w:rFonts w:eastAsia="Century Gothic"/>
        </w:rPr>
      </w:pPr>
      <w:r>
        <w:rPr>
          <w:rFonts w:eastAsia="Century Gothic"/>
          <w:b/>
        </w:rPr>
        <w:t xml:space="preserve">Afiliación. </w:t>
      </w:r>
      <w:r w:rsidR="00CA3B34">
        <w:rPr>
          <w:rFonts w:eastAsia="Century Gothic"/>
        </w:rPr>
        <w:t>Puede ser entendida como la “a</w:t>
      </w:r>
      <w:r w:rsidR="00CA3B34" w:rsidRPr="00CA3B34">
        <w:rPr>
          <w:rFonts w:eastAsia="Century Gothic"/>
        </w:rPr>
        <w:t>dscripción de una persona a una organización o sistema organizado</w:t>
      </w:r>
      <w:r w:rsidR="00CA3B34">
        <w:rPr>
          <w:rFonts w:eastAsia="Century Gothic"/>
        </w:rPr>
        <w:t>” (RAE, 20</w:t>
      </w:r>
      <w:r w:rsidR="00434097">
        <w:rPr>
          <w:rFonts w:eastAsia="Century Gothic"/>
        </w:rPr>
        <w:t>20</w:t>
      </w:r>
      <w:r w:rsidR="00CA3B34">
        <w:rPr>
          <w:rFonts w:eastAsia="Century Gothic"/>
        </w:rPr>
        <w:t>)</w:t>
      </w:r>
      <w:r w:rsidR="00434097">
        <w:rPr>
          <w:rFonts w:eastAsia="Century Gothic"/>
        </w:rPr>
        <w:t>. En materia de Seguridad Social, l</w:t>
      </w:r>
      <w:r w:rsidR="00434097" w:rsidRPr="00434097">
        <w:rPr>
          <w:rFonts w:eastAsia="Century Gothic"/>
        </w:rPr>
        <w:t xml:space="preserve">a </w:t>
      </w:r>
      <w:r w:rsidR="00434097" w:rsidRPr="00434097">
        <w:rPr>
          <w:rFonts w:eastAsia="Century Gothic"/>
        </w:rPr>
        <w:lastRenderedPageBreak/>
        <w:t>afiliación es un acto jurídico mediante el cual una persona manifiesta su voluntad de ingresar a un</w:t>
      </w:r>
      <w:r w:rsidR="00325250">
        <w:rPr>
          <w:rFonts w:eastAsia="Century Gothic"/>
        </w:rPr>
        <w:t>a entidad administradora de la Seguridad S</w:t>
      </w:r>
      <w:r w:rsidR="00434097" w:rsidRPr="00434097">
        <w:rPr>
          <w:rFonts w:eastAsia="Century Gothic"/>
        </w:rPr>
        <w:t>ocial</w:t>
      </w:r>
      <w:r w:rsidR="00325250">
        <w:rPr>
          <w:rFonts w:eastAsia="Century Gothic"/>
        </w:rPr>
        <w:t>.</w:t>
      </w:r>
    </w:p>
    <w:p w14:paraId="27FCB6BF" w14:textId="33022375" w:rsidR="00C534C3" w:rsidRDefault="00325250" w:rsidP="00800508">
      <w:pPr>
        <w:spacing w:line="480" w:lineRule="auto"/>
        <w:ind w:firstLine="709"/>
        <w:rPr>
          <w:rFonts w:eastAsia="Century Gothic"/>
        </w:rPr>
      </w:pPr>
      <w:r>
        <w:rPr>
          <w:rFonts w:eastAsia="Century Gothic"/>
          <w:b/>
        </w:rPr>
        <w:t>T</w:t>
      </w:r>
      <w:r w:rsidR="00CA3B34">
        <w:rPr>
          <w:rFonts w:eastAsia="Century Gothic"/>
          <w:b/>
        </w:rPr>
        <w:t>raslado.</w:t>
      </w:r>
      <w:r w:rsidR="00434097">
        <w:rPr>
          <w:rFonts w:eastAsia="Century Gothic"/>
          <w:b/>
        </w:rPr>
        <w:t xml:space="preserve"> </w:t>
      </w:r>
      <w:r w:rsidR="00631840">
        <w:rPr>
          <w:rFonts w:eastAsia="Century Gothic"/>
        </w:rPr>
        <w:t>En una acepción más amplia</w:t>
      </w:r>
      <w:r>
        <w:rPr>
          <w:rFonts w:eastAsia="Century Gothic"/>
        </w:rPr>
        <w:t>, se define como “l</w:t>
      </w:r>
      <w:r w:rsidR="00AD60D3" w:rsidRPr="00F70150">
        <w:rPr>
          <w:rFonts w:eastAsia="Century Gothic"/>
        </w:rPr>
        <w:t>levar</w:t>
      </w:r>
      <w:r w:rsidR="00AD60D3" w:rsidRPr="00F70150">
        <w:rPr>
          <w:rFonts w:eastAsia="Century Gothic" w:hint="eastAsia"/>
        </w:rPr>
        <w:t> </w:t>
      </w:r>
      <w:r w:rsidR="00AD60D3" w:rsidRPr="00F70150">
        <w:rPr>
          <w:rFonts w:eastAsia="Century Gothic"/>
        </w:rPr>
        <w:t>a</w:t>
      </w:r>
      <w:r w:rsidR="00AD60D3" w:rsidRPr="00F70150">
        <w:rPr>
          <w:rFonts w:eastAsia="Century Gothic" w:hint="eastAsia"/>
        </w:rPr>
        <w:t> </w:t>
      </w:r>
      <w:r w:rsidR="00AD60D3" w:rsidRPr="00F70150">
        <w:rPr>
          <w:rFonts w:eastAsia="Century Gothic"/>
        </w:rPr>
        <w:t>alguien</w:t>
      </w:r>
      <w:r w:rsidR="00AD60D3" w:rsidRPr="00F70150">
        <w:rPr>
          <w:rFonts w:eastAsia="Century Gothic" w:hint="eastAsia"/>
        </w:rPr>
        <w:t> </w:t>
      </w:r>
      <w:r w:rsidR="00AD60D3" w:rsidRPr="00F70150">
        <w:rPr>
          <w:rFonts w:eastAsia="Century Gothic"/>
        </w:rPr>
        <w:t>o</w:t>
      </w:r>
      <w:r w:rsidR="00AD60D3" w:rsidRPr="00F70150">
        <w:rPr>
          <w:rFonts w:eastAsia="Century Gothic" w:hint="eastAsia"/>
        </w:rPr>
        <w:t> </w:t>
      </w:r>
      <w:r w:rsidR="00AD60D3" w:rsidRPr="00F70150">
        <w:rPr>
          <w:rFonts w:eastAsia="Century Gothic"/>
        </w:rPr>
        <w:t>algo</w:t>
      </w:r>
      <w:r w:rsidR="00AD60D3" w:rsidRPr="00F70150">
        <w:rPr>
          <w:rFonts w:eastAsia="Century Gothic" w:hint="eastAsia"/>
        </w:rPr>
        <w:t> </w:t>
      </w:r>
      <w:r w:rsidR="00AD60D3" w:rsidRPr="00F70150">
        <w:rPr>
          <w:rFonts w:eastAsia="Century Gothic"/>
        </w:rPr>
        <w:t>de</w:t>
      </w:r>
      <w:r w:rsidR="00AD60D3" w:rsidRPr="00F70150">
        <w:rPr>
          <w:rFonts w:eastAsia="Century Gothic" w:hint="eastAsia"/>
        </w:rPr>
        <w:t> </w:t>
      </w:r>
      <w:r w:rsidR="00AD60D3" w:rsidRPr="00F70150">
        <w:rPr>
          <w:rFonts w:eastAsia="Century Gothic"/>
        </w:rPr>
        <w:t>un</w:t>
      </w:r>
      <w:r w:rsidR="00AD60D3" w:rsidRPr="00F70150">
        <w:rPr>
          <w:rFonts w:eastAsia="Century Gothic" w:hint="eastAsia"/>
        </w:rPr>
        <w:t> </w:t>
      </w:r>
      <w:r w:rsidR="00AD60D3" w:rsidRPr="00F70150">
        <w:rPr>
          <w:rFonts w:eastAsia="Century Gothic"/>
        </w:rPr>
        <w:t>lugar</w:t>
      </w:r>
      <w:r w:rsidR="00AD60D3" w:rsidRPr="00F70150">
        <w:rPr>
          <w:rFonts w:eastAsia="Century Gothic" w:hint="eastAsia"/>
        </w:rPr>
        <w:t> </w:t>
      </w:r>
      <w:r w:rsidR="00AD60D3" w:rsidRPr="00F70150">
        <w:rPr>
          <w:rFonts w:eastAsia="Century Gothic"/>
        </w:rPr>
        <w:t>a</w:t>
      </w:r>
      <w:r w:rsidR="00AD60D3" w:rsidRPr="00F70150">
        <w:rPr>
          <w:rFonts w:eastAsia="Century Gothic" w:hint="eastAsia"/>
        </w:rPr>
        <w:t> </w:t>
      </w:r>
      <w:r w:rsidR="00AD60D3" w:rsidRPr="00F70150">
        <w:rPr>
          <w:rFonts w:eastAsia="Century Gothic"/>
        </w:rPr>
        <w:t>otro</w:t>
      </w:r>
      <w:r>
        <w:rPr>
          <w:rFonts w:eastAsia="Century Gothic"/>
        </w:rPr>
        <w:t>” (RAE, 202</w:t>
      </w:r>
      <w:r w:rsidR="00C534C3">
        <w:rPr>
          <w:rFonts w:eastAsia="Century Gothic"/>
        </w:rPr>
        <w:t>0</w:t>
      </w:r>
      <w:r>
        <w:rPr>
          <w:rFonts w:eastAsia="Century Gothic"/>
        </w:rPr>
        <w:t xml:space="preserve">). </w:t>
      </w:r>
      <w:r w:rsidR="00C534C3">
        <w:rPr>
          <w:rFonts w:eastAsia="Century Gothic"/>
        </w:rPr>
        <w:t>Un concepto más específico la definiría como aquel</w:t>
      </w:r>
      <w:r w:rsidR="00C534C3" w:rsidRPr="00C534C3">
        <w:rPr>
          <w:rFonts w:eastAsia="Century Gothic"/>
        </w:rPr>
        <w:t xml:space="preserve"> acto jurídico mediante el cual un afiliado manifiesta su voluntad de cambiarse de una entidad administradora a otra.  </w:t>
      </w:r>
    </w:p>
    <w:p w14:paraId="68A51688" w14:textId="0BAFFDB3" w:rsidR="00AD60D3" w:rsidRPr="008D5A38" w:rsidRDefault="00C534C3" w:rsidP="00800508">
      <w:pPr>
        <w:spacing w:line="480" w:lineRule="auto"/>
        <w:ind w:firstLine="709"/>
        <w:rPr>
          <w:rFonts w:eastAsia="Century Gothic"/>
          <w:lang w:val="es-CO"/>
        </w:rPr>
      </w:pPr>
      <w:r>
        <w:rPr>
          <w:rFonts w:eastAsia="Century Gothic"/>
          <w:b/>
        </w:rPr>
        <w:t xml:space="preserve">Perjuicio. </w:t>
      </w:r>
      <w:r w:rsidR="008D5A38">
        <w:rPr>
          <w:rFonts w:eastAsia="Century Gothic"/>
        </w:rPr>
        <w:t>Se entiende como un “d</w:t>
      </w:r>
      <w:r w:rsidR="008D5A38" w:rsidRPr="008D5A38">
        <w:rPr>
          <w:rFonts w:eastAsia="Century Gothic"/>
        </w:rPr>
        <w:t>etrimento personal o patrimonial</w:t>
      </w:r>
      <w:r w:rsidR="008D5A38">
        <w:rPr>
          <w:rFonts w:eastAsia="Century Gothic"/>
        </w:rPr>
        <w:t>”</w:t>
      </w:r>
      <w:r w:rsidR="008D5A38" w:rsidRPr="008D5A38">
        <w:rPr>
          <w:rFonts w:eastAsia="Century Gothic"/>
        </w:rPr>
        <w:t>.</w:t>
      </w:r>
      <w:r w:rsidR="00AD60D3" w:rsidRPr="00F70150">
        <w:rPr>
          <w:rFonts w:eastAsia="Century Gothic"/>
        </w:rPr>
        <w:t xml:space="preserve"> </w:t>
      </w:r>
      <w:r w:rsidR="008D5A38">
        <w:rPr>
          <w:rFonts w:eastAsia="Century Gothic"/>
        </w:rPr>
        <w:t>(RAE, 2020). Jurisprudencia de la Corte Suprema de Justicia lo define como “</w:t>
      </w:r>
      <w:r w:rsidR="008D5A38" w:rsidRPr="008D5A38">
        <w:rPr>
          <w:rFonts w:eastAsia="Century Gothic"/>
        </w:rPr>
        <w:t>la consecuencia que se deriva del daño para la víctima del mismo, y la indemnización corresponde al resarcimiento o  pago del “(…) perj</w:t>
      </w:r>
      <w:r w:rsidR="008D5A38">
        <w:rPr>
          <w:rFonts w:eastAsia="Century Gothic"/>
        </w:rPr>
        <w:t xml:space="preserve">uicio que el daño ocasionó (…)” </w:t>
      </w:r>
      <w:r w:rsidR="008D5A38" w:rsidRPr="008D5A38">
        <w:rPr>
          <w:rFonts w:eastAsia="Century Gothic"/>
        </w:rPr>
        <w:t>(Sentencia SC2107-2018)</w:t>
      </w:r>
      <w:r w:rsidR="008D5A38">
        <w:rPr>
          <w:rFonts w:eastAsia="Century Gothic"/>
        </w:rPr>
        <w:t>.</w:t>
      </w:r>
    </w:p>
    <w:p w14:paraId="17FCD697" w14:textId="2337FEFF" w:rsidR="00096B40" w:rsidRPr="00F70150" w:rsidRDefault="009C0E3C" w:rsidP="00800508">
      <w:pPr>
        <w:spacing w:line="480" w:lineRule="auto"/>
        <w:ind w:firstLine="709"/>
        <w:rPr>
          <w:rFonts w:eastAsia="Century Gothic"/>
        </w:rPr>
      </w:pPr>
      <w:r>
        <w:rPr>
          <w:rFonts w:eastAsia="Century Gothic"/>
          <w:b/>
        </w:rPr>
        <w:t>Deber de información.</w:t>
      </w:r>
      <w:r w:rsidR="00096B40" w:rsidRPr="00F70150">
        <w:rPr>
          <w:rFonts w:eastAsia="Century Gothic"/>
        </w:rPr>
        <w:t xml:space="preserve"> </w:t>
      </w:r>
      <w:r>
        <w:rPr>
          <w:rFonts w:eastAsia="Century Gothic"/>
        </w:rPr>
        <w:t>E</w:t>
      </w:r>
      <w:r w:rsidR="00096B40" w:rsidRPr="00F70150">
        <w:rPr>
          <w:rFonts w:eastAsia="Century Gothic"/>
        </w:rPr>
        <w:t>stá regulado normativamente por: i)  los artículos 13 literal b, 271 y 272 de la ley 100 de 1993, ii) el artículo 97, numeral 1 del Decreto 663 de 1993, modificado por el artículo 23 de la ley 79</w:t>
      </w:r>
      <w:r w:rsidR="005A51C9">
        <w:rPr>
          <w:rFonts w:eastAsia="Century Gothic"/>
        </w:rPr>
        <w:t>5</w:t>
      </w:r>
      <w:r w:rsidR="00096B40" w:rsidRPr="00F70150">
        <w:rPr>
          <w:rFonts w:eastAsia="Century Gothic"/>
        </w:rPr>
        <w:t xml:space="preserve"> de 2003 los cuales establecen que </w:t>
      </w:r>
      <w:r w:rsidR="00D92820" w:rsidRPr="00F70150">
        <w:rPr>
          <w:rFonts w:eastAsia="Century Gothic"/>
        </w:rPr>
        <w:t>“el</w:t>
      </w:r>
      <w:r w:rsidR="00096B40" w:rsidRPr="00F70150">
        <w:rPr>
          <w:rFonts w:eastAsia="Century Gothic"/>
        </w:rPr>
        <w:t xml:space="preserve"> contenido mínimo y alcance de dicho deber consistía en la ilustración de las características, condiciones, acceso, efectos y riesgos de cada uno de los regímenes pensionales”. </w:t>
      </w:r>
    </w:p>
    <w:p w14:paraId="4E286D08" w14:textId="4D2B913B" w:rsidR="00D92820" w:rsidRDefault="009C0E3C" w:rsidP="00800508">
      <w:pPr>
        <w:spacing w:line="480" w:lineRule="auto"/>
        <w:ind w:firstLine="709"/>
        <w:rPr>
          <w:rFonts w:eastAsia="Century Gothic"/>
        </w:rPr>
      </w:pPr>
      <w:r w:rsidRPr="009C0E3C">
        <w:rPr>
          <w:rFonts w:eastAsia="Century Gothic"/>
          <w:b/>
        </w:rPr>
        <w:t>F</w:t>
      </w:r>
      <w:r w:rsidR="002D494F" w:rsidRPr="009C0E3C">
        <w:rPr>
          <w:rFonts w:eastAsia="Century Gothic"/>
          <w:b/>
        </w:rPr>
        <w:t xml:space="preserve">unción de </w:t>
      </w:r>
      <w:r w:rsidR="00B21AC0" w:rsidRPr="009C0E3C">
        <w:rPr>
          <w:rFonts w:eastAsia="Century Gothic"/>
          <w:b/>
        </w:rPr>
        <w:t>inspección, vigilancia y control</w:t>
      </w:r>
      <w:r>
        <w:rPr>
          <w:rFonts w:eastAsia="Century Gothic"/>
          <w:b/>
        </w:rPr>
        <w:t>.</w:t>
      </w:r>
      <w:r w:rsidR="00B21AC0" w:rsidRPr="00F70150">
        <w:rPr>
          <w:rFonts w:eastAsia="Century Gothic"/>
        </w:rPr>
        <w:t xml:space="preserve"> </w:t>
      </w:r>
      <w:r w:rsidR="00D92820">
        <w:rPr>
          <w:rFonts w:eastAsia="Century Gothic"/>
        </w:rPr>
        <w:t xml:space="preserve">El Consejo de Estado, en Sentencia </w:t>
      </w:r>
      <w:r w:rsidR="00D92820" w:rsidRPr="00F70150">
        <w:rPr>
          <w:rFonts w:eastAsia="Century Gothic"/>
        </w:rPr>
        <w:t>11001-03-26-000-1998-00017-00</w:t>
      </w:r>
      <w:r w:rsidR="00D92820">
        <w:rPr>
          <w:rFonts w:eastAsia="Century Gothic"/>
        </w:rPr>
        <w:t xml:space="preserve"> </w:t>
      </w:r>
      <w:r w:rsidR="00D92820" w:rsidRPr="00F70150">
        <w:rPr>
          <w:rFonts w:eastAsia="Century Gothic"/>
        </w:rPr>
        <w:t>(15071</w:t>
      </w:r>
      <w:r w:rsidR="00D92820">
        <w:rPr>
          <w:rFonts w:eastAsia="Century Gothic"/>
        </w:rPr>
        <w:t>) del 8 de marzo de 2007, definió tales actuaciones así:</w:t>
      </w:r>
    </w:p>
    <w:p w14:paraId="7FEBAF68" w14:textId="0BB6D82F" w:rsidR="00D92820" w:rsidRPr="00B159E5" w:rsidRDefault="002D494F" w:rsidP="00800508">
      <w:pPr>
        <w:spacing w:line="480" w:lineRule="auto"/>
        <w:ind w:left="720"/>
        <w:rPr>
          <w:rFonts w:eastAsia="Century Gothic"/>
          <w:lang w:val="en-US"/>
        </w:rPr>
      </w:pPr>
      <w:r w:rsidRPr="009F2376">
        <w:rPr>
          <w:rFonts w:eastAsia="Century Gothic"/>
          <w:lang w:val="es-CO"/>
        </w:rPr>
        <w:t xml:space="preserve"> </w:t>
      </w:r>
      <w:r w:rsidR="009F2376" w:rsidRPr="009F2376">
        <w:rPr>
          <w:rFonts w:eastAsia="Century Gothic"/>
          <w:lang w:val="es-CO"/>
        </w:rPr>
        <w:t>(…)</w:t>
      </w:r>
      <w:r w:rsidR="009F2376">
        <w:rPr>
          <w:rFonts w:eastAsia="Century Gothic"/>
          <w:lang w:val="es-CO"/>
        </w:rPr>
        <w:t xml:space="preserve"> </w:t>
      </w:r>
      <w:r w:rsidRPr="009F2376">
        <w:rPr>
          <w:rFonts w:eastAsia="Century Gothic"/>
          <w:lang w:val="es-CO"/>
        </w:rPr>
        <w:t xml:space="preserve">Inspección: Es la acción y efecto de inspeccionar, es decir, examinar, reconocer atentamente una cosa. Cargo y cuidado de velar sobre una cosa. Vigilancia: Cuidado y atención exacta en las cosas que están a cargo de cada uno; jurídicamente, se entiende como “Cuidado, celo y diligencia que se pone </w:t>
      </w:r>
      <w:r w:rsidRPr="009F2376">
        <w:rPr>
          <w:rFonts w:eastAsia="Century Gothic"/>
          <w:lang w:val="es-CO"/>
        </w:rPr>
        <w:lastRenderedPageBreak/>
        <w:t>o ha de ponerse en las cosas y asuntos de la propia incumbencia; Servicio público destinado a velar por determinadas instituciones, personas y cosas” Control: Inspecci</w:t>
      </w:r>
      <w:r w:rsidR="009F2376">
        <w:rPr>
          <w:rFonts w:eastAsia="Century Gothic"/>
          <w:lang w:val="es-CO"/>
        </w:rPr>
        <w:t xml:space="preserve">ón, fiscalización, intervención. </w:t>
      </w:r>
      <w:proofErr w:type="spellStart"/>
      <w:r w:rsidR="009F2376" w:rsidRPr="00B159E5">
        <w:rPr>
          <w:rFonts w:eastAsia="Century Gothic"/>
          <w:lang w:val="en-US"/>
        </w:rPr>
        <w:t>Dominio</w:t>
      </w:r>
      <w:proofErr w:type="spellEnd"/>
      <w:r w:rsidR="009F2376" w:rsidRPr="00B159E5">
        <w:rPr>
          <w:rFonts w:eastAsia="Century Gothic"/>
          <w:lang w:val="en-US"/>
        </w:rPr>
        <w:t xml:space="preserve">, </w:t>
      </w:r>
      <w:proofErr w:type="spellStart"/>
      <w:r w:rsidR="009F2376" w:rsidRPr="00B159E5">
        <w:rPr>
          <w:rFonts w:eastAsia="Century Gothic"/>
          <w:lang w:val="en-US"/>
        </w:rPr>
        <w:t>mando</w:t>
      </w:r>
      <w:proofErr w:type="spellEnd"/>
      <w:r w:rsidR="009F2376" w:rsidRPr="00B159E5">
        <w:rPr>
          <w:rFonts w:eastAsia="Century Gothic"/>
          <w:lang w:val="en-US"/>
        </w:rPr>
        <w:t xml:space="preserve">, </w:t>
      </w:r>
      <w:proofErr w:type="spellStart"/>
      <w:r w:rsidR="009F2376" w:rsidRPr="00B159E5">
        <w:rPr>
          <w:rFonts w:eastAsia="Century Gothic"/>
          <w:lang w:val="en-US"/>
        </w:rPr>
        <w:t>preponderancia</w:t>
      </w:r>
      <w:proofErr w:type="spellEnd"/>
      <w:r w:rsidRPr="00B159E5">
        <w:rPr>
          <w:rFonts w:eastAsia="Century Gothic"/>
          <w:lang w:val="en-US"/>
        </w:rPr>
        <w:t>.</w:t>
      </w:r>
    </w:p>
    <w:p w14:paraId="1524453C" w14:textId="77777777" w:rsidR="00F55714" w:rsidRDefault="00F55714" w:rsidP="00800508">
      <w:pPr>
        <w:spacing w:line="480" w:lineRule="auto"/>
        <w:ind w:hanging="2"/>
        <w:rPr>
          <w:rFonts w:eastAsia="Century Gothic"/>
          <w:b/>
          <w:lang w:val="en-US"/>
        </w:rPr>
      </w:pPr>
      <w:bookmarkStart w:id="3" w:name="Abstract"/>
    </w:p>
    <w:p w14:paraId="454EF32E" w14:textId="3D6CF1F1" w:rsidR="00AB63DB" w:rsidRDefault="00715474" w:rsidP="00800508">
      <w:pPr>
        <w:spacing w:line="480" w:lineRule="auto"/>
        <w:ind w:hanging="2"/>
        <w:rPr>
          <w:rFonts w:eastAsia="Century Gothic"/>
          <w:b/>
          <w:lang w:val="en-US"/>
        </w:rPr>
      </w:pPr>
      <w:r w:rsidRPr="00AB63DB">
        <w:rPr>
          <w:rFonts w:eastAsia="Century Gothic"/>
          <w:b/>
          <w:lang w:val="en-US"/>
        </w:rPr>
        <w:t xml:space="preserve">Abstract </w:t>
      </w:r>
    </w:p>
    <w:bookmarkEnd w:id="3"/>
    <w:p w14:paraId="00D40A0D" w14:textId="7417070F" w:rsidR="00AB63DB" w:rsidRDefault="00AB63DB" w:rsidP="00800508">
      <w:pPr>
        <w:spacing w:line="480" w:lineRule="auto"/>
        <w:ind w:firstLine="709"/>
        <w:rPr>
          <w:rFonts w:eastAsia="Century Gothic"/>
          <w:lang w:val="en-US"/>
        </w:rPr>
      </w:pPr>
      <w:r w:rsidRPr="00AB63DB">
        <w:rPr>
          <w:rFonts w:eastAsia="Century Gothic"/>
          <w:lang w:val="en-US"/>
        </w:rPr>
        <w:t xml:space="preserve">  The </w:t>
      </w:r>
      <w:r w:rsidR="00631840">
        <w:rPr>
          <w:rFonts w:eastAsia="Century Gothic"/>
          <w:lang w:val="en-US"/>
        </w:rPr>
        <w:t xml:space="preserve">affiliation and </w:t>
      </w:r>
      <w:r w:rsidRPr="00AB63DB">
        <w:rPr>
          <w:rFonts w:eastAsia="Century Gothic"/>
          <w:lang w:val="en-US"/>
        </w:rPr>
        <w:t>transfer of regime by the affiliate must be free and spontaneous, which implies a duty of information by the Pension Funds since it is necessary that the person knows thoroughly the consequences of said decision could bring. The foul of this duty entails the void of the transfer made under such transgression, for the purpose of this one can be done again in due form.</w:t>
      </w:r>
    </w:p>
    <w:p w14:paraId="61923C22" w14:textId="77777777" w:rsidR="00AB63DB" w:rsidRPr="00AB63DB" w:rsidRDefault="00AB63DB" w:rsidP="00800508">
      <w:pPr>
        <w:spacing w:line="480" w:lineRule="auto"/>
        <w:ind w:firstLine="709"/>
        <w:rPr>
          <w:rFonts w:eastAsia="Century Gothic"/>
          <w:lang w:val="en-US"/>
        </w:rPr>
      </w:pPr>
      <w:r w:rsidRPr="00AB63DB">
        <w:rPr>
          <w:rFonts w:eastAsia="Century Gothic"/>
          <w:lang w:val="en-US"/>
        </w:rPr>
        <w:t xml:space="preserve">  Thereby, it is necessary to determine which the legal liability of the different actors Pension System is, from the Pension Funds to the </w:t>
      </w:r>
      <w:proofErr w:type="spellStart"/>
      <w:r w:rsidRPr="00AB63DB">
        <w:rPr>
          <w:rFonts w:eastAsia="Century Gothic"/>
          <w:i/>
          <w:lang w:val="en-US"/>
        </w:rPr>
        <w:t>Superintendencia</w:t>
      </w:r>
      <w:proofErr w:type="spellEnd"/>
      <w:r w:rsidRPr="00AB63DB">
        <w:rPr>
          <w:rFonts w:eastAsia="Century Gothic"/>
          <w:i/>
          <w:lang w:val="en-US"/>
        </w:rPr>
        <w:t xml:space="preserve"> </w:t>
      </w:r>
      <w:proofErr w:type="spellStart"/>
      <w:r w:rsidRPr="00AB63DB">
        <w:rPr>
          <w:rFonts w:eastAsia="Century Gothic"/>
          <w:i/>
          <w:lang w:val="en-US"/>
        </w:rPr>
        <w:t>Financiera</w:t>
      </w:r>
      <w:proofErr w:type="spellEnd"/>
      <w:r w:rsidRPr="00AB63DB">
        <w:rPr>
          <w:rFonts w:eastAsia="Century Gothic"/>
          <w:i/>
          <w:lang w:val="en-US"/>
        </w:rPr>
        <w:t xml:space="preserve"> de Colombia</w:t>
      </w:r>
      <w:r w:rsidRPr="00AB63DB">
        <w:rPr>
          <w:rFonts w:eastAsia="Century Gothic"/>
          <w:lang w:val="en-US"/>
        </w:rPr>
        <w:t xml:space="preserve">, entity in charge of the supervision of the whole system. In the latter instance, it could be establish a State Liability in case there is an omission by said entity that might be sued for negligence. </w:t>
      </w:r>
    </w:p>
    <w:p w14:paraId="102DA245" w14:textId="77777777" w:rsidR="006C5B9A" w:rsidRPr="009F2376" w:rsidRDefault="006C5B9A" w:rsidP="00800508">
      <w:pPr>
        <w:spacing w:line="480" w:lineRule="auto"/>
        <w:ind w:hanging="2"/>
        <w:rPr>
          <w:rFonts w:eastAsia="Century Gothic"/>
          <w:b/>
          <w:highlight w:val="green"/>
          <w:lang w:val="en-US"/>
        </w:rPr>
      </w:pPr>
    </w:p>
    <w:p w14:paraId="4219D306" w14:textId="7209CA02" w:rsidR="00AB63DB" w:rsidRDefault="00715474" w:rsidP="00800508">
      <w:pPr>
        <w:spacing w:line="480" w:lineRule="auto"/>
        <w:ind w:hanging="2"/>
        <w:rPr>
          <w:rFonts w:eastAsia="Century Gothic"/>
          <w:b/>
          <w:lang w:val="es-CO"/>
        </w:rPr>
      </w:pPr>
      <w:bookmarkStart w:id="4" w:name="Introducción"/>
      <w:r w:rsidRPr="009634E5">
        <w:rPr>
          <w:rFonts w:eastAsia="Century Gothic"/>
          <w:b/>
          <w:lang w:val="es-CO"/>
        </w:rPr>
        <w:t>Introducción</w:t>
      </w:r>
    </w:p>
    <w:bookmarkEnd w:id="4"/>
    <w:p w14:paraId="1FEA0AB7" w14:textId="50DDA9F4" w:rsidR="00D4078D" w:rsidRDefault="00D4078D" w:rsidP="00800508">
      <w:pPr>
        <w:suppressAutoHyphens/>
        <w:spacing w:line="480" w:lineRule="auto"/>
        <w:ind w:firstLine="709"/>
        <w:textDirection w:val="btLr"/>
        <w:textAlignment w:val="top"/>
        <w:outlineLvl w:val="0"/>
        <w:rPr>
          <w:rFonts w:eastAsia="Century Gothic"/>
          <w:color w:val="000000"/>
        </w:rPr>
      </w:pPr>
      <w:r>
        <w:rPr>
          <w:rFonts w:eastAsia="Century Gothic"/>
          <w:color w:val="000000"/>
        </w:rPr>
        <w:t>El objetivo del presente escrito es resaltar la evolución histórica de los asuntos laborales y pensionales en Colombia</w:t>
      </w:r>
      <w:r w:rsidR="00631840">
        <w:rPr>
          <w:rFonts w:eastAsia="Century Gothic"/>
          <w:color w:val="000000"/>
        </w:rPr>
        <w:t>,</w:t>
      </w:r>
      <w:r>
        <w:rPr>
          <w:rFonts w:eastAsia="Century Gothic"/>
          <w:color w:val="000000"/>
        </w:rPr>
        <w:t xml:space="preserve"> con el fin de ilustrar una serie de problemas que desencadenaron las afiliaciones y traslados masivos que actualmente se presentan entre los fondos que administran las pensiones en Colombia y los cuales desencadena</w:t>
      </w:r>
      <w:r w:rsidR="006C0805">
        <w:rPr>
          <w:rFonts w:eastAsia="Century Gothic"/>
          <w:color w:val="000000"/>
        </w:rPr>
        <w:t xml:space="preserve">n, </w:t>
      </w:r>
      <w:r>
        <w:rPr>
          <w:rFonts w:eastAsia="Century Gothic"/>
          <w:color w:val="000000"/>
        </w:rPr>
        <w:t>a su vez</w:t>
      </w:r>
      <w:r w:rsidR="006C0805">
        <w:rPr>
          <w:rFonts w:eastAsia="Century Gothic"/>
          <w:color w:val="000000"/>
        </w:rPr>
        <w:t>,</w:t>
      </w:r>
      <w:r>
        <w:rPr>
          <w:rFonts w:eastAsia="Century Gothic"/>
          <w:color w:val="000000"/>
        </w:rPr>
        <w:t xml:space="preserve"> perjuicios a los afiliados. </w:t>
      </w:r>
    </w:p>
    <w:p w14:paraId="072A39DC" w14:textId="77777777" w:rsidR="006C5B9A" w:rsidRDefault="006C5B9A" w:rsidP="00800508">
      <w:pPr>
        <w:suppressAutoHyphens/>
        <w:spacing w:line="480" w:lineRule="auto"/>
        <w:ind w:firstLine="709"/>
        <w:textDirection w:val="btLr"/>
        <w:textAlignment w:val="top"/>
        <w:outlineLvl w:val="0"/>
        <w:rPr>
          <w:rFonts w:eastAsia="Century Gothic"/>
          <w:color w:val="000000"/>
        </w:rPr>
      </w:pPr>
    </w:p>
    <w:p w14:paraId="70A9CBB2" w14:textId="77777777" w:rsidR="00D4078D" w:rsidRDefault="00D4078D" w:rsidP="00800508">
      <w:pPr>
        <w:suppressAutoHyphens/>
        <w:spacing w:line="480" w:lineRule="auto"/>
        <w:ind w:firstLine="709"/>
        <w:textDirection w:val="btLr"/>
        <w:textAlignment w:val="top"/>
        <w:outlineLvl w:val="0"/>
        <w:rPr>
          <w:rFonts w:eastAsia="Century Gothic"/>
          <w:color w:val="000000"/>
        </w:rPr>
      </w:pPr>
      <w:r>
        <w:rPr>
          <w:rFonts w:eastAsia="Century Gothic"/>
          <w:color w:val="000000"/>
        </w:rPr>
        <w:lastRenderedPageBreak/>
        <w:t xml:space="preserve">En principio, debe resaltarse que los derechos al trabajo y a la Seguridad Social están protegidos constitucionalmente a través de los artículos 48 y 53 de la Constitución Política de Colombia. </w:t>
      </w:r>
    </w:p>
    <w:p w14:paraId="1DDC7D07" w14:textId="0E8B8EE3" w:rsidR="00D4078D" w:rsidRDefault="00D4078D" w:rsidP="00800508">
      <w:pPr>
        <w:suppressAutoHyphens/>
        <w:spacing w:line="480" w:lineRule="auto"/>
        <w:ind w:firstLine="709"/>
        <w:textDirection w:val="btLr"/>
        <w:textAlignment w:val="top"/>
        <w:outlineLvl w:val="0"/>
        <w:rPr>
          <w:rFonts w:eastAsia="Century Gothic"/>
          <w:color w:val="000000"/>
        </w:rPr>
      </w:pPr>
      <w:r>
        <w:rPr>
          <w:rFonts w:eastAsia="Century Gothic"/>
          <w:color w:val="000000"/>
        </w:rPr>
        <w:t xml:space="preserve">Ahora bien, los asuntos laborales y pensionales en Colombia, anteriormente estaban en cabeza de un solo régimen, el público, es decir, del </w:t>
      </w:r>
      <w:r w:rsidR="006C0805">
        <w:rPr>
          <w:rFonts w:eastAsia="Century Gothic"/>
          <w:color w:val="000000"/>
        </w:rPr>
        <w:t>E</w:t>
      </w:r>
      <w:r>
        <w:rPr>
          <w:rFonts w:eastAsia="Century Gothic"/>
          <w:color w:val="000000"/>
        </w:rPr>
        <w:t>stado, el cual era el Régimen de Prima Media con Prestación Definida (en adelante RPM), que a su vez tenía dos entidades para administrar los fondos de pensiones de los trabajadores afiliados los cuales eran las CAJAS y el Instituto de Seguro</w:t>
      </w:r>
      <w:r w:rsidR="006C0805">
        <w:rPr>
          <w:rFonts w:eastAsia="Century Gothic"/>
          <w:color w:val="000000"/>
        </w:rPr>
        <w:t>s</w:t>
      </w:r>
      <w:r>
        <w:rPr>
          <w:rFonts w:eastAsia="Century Gothic"/>
          <w:color w:val="000000"/>
        </w:rPr>
        <w:t xml:space="preserve"> Social</w:t>
      </w:r>
      <w:r w:rsidR="006C0805">
        <w:rPr>
          <w:rFonts w:eastAsia="Century Gothic"/>
          <w:color w:val="000000"/>
        </w:rPr>
        <w:t>es</w:t>
      </w:r>
      <w:r>
        <w:rPr>
          <w:rFonts w:eastAsia="Century Gothic"/>
          <w:color w:val="000000"/>
        </w:rPr>
        <w:t xml:space="preserve"> (en adelante ISS); por diversos problemas financieros, el </w:t>
      </w:r>
      <w:r w:rsidR="006C0805">
        <w:rPr>
          <w:rFonts w:eastAsia="Century Gothic"/>
          <w:color w:val="000000"/>
        </w:rPr>
        <w:t>E</w:t>
      </w:r>
      <w:r>
        <w:rPr>
          <w:rFonts w:eastAsia="Century Gothic"/>
          <w:color w:val="000000"/>
        </w:rPr>
        <w:t xml:space="preserve">stado toma la decisión de cambiar la entidad que administraba los fondos de pensiones de denominación, por lo que, el ISS pasó a ser la Administradora </w:t>
      </w:r>
      <w:r w:rsidR="006C0805">
        <w:rPr>
          <w:rFonts w:eastAsia="Century Gothic"/>
          <w:color w:val="000000"/>
        </w:rPr>
        <w:t xml:space="preserve">Colombiana </w:t>
      </w:r>
      <w:r>
        <w:rPr>
          <w:rFonts w:eastAsia="Century Gothic"/>
          <w:color w:val="000000"/>
        </w:rPr>
        <w:t xml:space="preserve">de Pensiones COLPENSIONES. </w:t>
      </w:r>
    </w:p>
    <w:p w14:paraId="76C298AF" w14:textId="1C25F262" w:rsidR="00D4078D" w:rsidRDefault="00D4078D" w:rsidP="00800508">
      <w:pPr>
        <w:suppressAutoHyphens/>
        <w:spacing w:line="480" w:lineRule="auto"/>
        <w:ind w:firstLine="709"/>
        <w:textDirection w:val="btLr"/>
        <w:textAlignment w:val="top"/>
        <w:outlineLvl w:val="0"/>
        <w:rPr>
          <w:rFonts w:eastAsia="Century Gothic"/>
          <w:color w:val="000000"/>
        </w:rPr>
      </w:pPr>
      <w:r>
        <w:rPr>
          <w:rFonts w:eastAsia="Century Gothic"/>
          <w:color w:val="000000"/>
        </w:rPr>
        <w:t xml:space="preserve">Finalmente el último cambio importante, fue la expedición de la ley 100 de 1993, ya que, modificó la edad, el numero de semanas de cotización y el monto de la pensión, creó un régimen de transición y permitió la creación de nuevos actores en el Sistema de Seguridad Social, lo que permitió el nacimiento de las Administradoras de Fondos de Pensiones (en adelante </w:t>
      </w:r>
      <w:r w:rsidR="006C5B9A">
        <w:rPr>
          <w:rFonts w:eastAsia="Century Gothic"/>
          <w:color w:val="000000"/>
        </w:rPr>
        <w:t>AFP</w:t>
      </w:r>
      <w:r>
        <w:rPr>
          <w:rFonts w:eastAsia="Century Gothic"/>
          <w:color w:val="000000"/>
        </w:rPr>
        <w:t>) del Régimen de Ahorro Individual con Solidaridad</w:t>
      </w:r>
      <w:r w:rsidR="006C0805">
        <w:rPr>
          <w:rFonts w:eastAsia="Century Gothic"/>
          <w:color w:val="000000"/>
        </w:rPr>
        <w:t xml:space="preserve"> (en adelante RAIS)</w:t>
      </w:r>
      <w:r>
        <w:rPr>
          <w:rFonts w:eastAsia="Century Gothic"/>
          <w:color w:val="000000"/>
        </w:rPr>
        <w:t xml:space="preserve">. </w:t>
      </w:r>
    </w:p>
    <w:p w14:paraId="1AD09D41" w14:textId="77777777" w:rsidR="00D4078D" w:rsidRDefault="00D4078D" w:rsidP="00800508">
      <w:pPr>
        <w:suppressAutoHyphens/>
        <w:spacing w:line="480" w:lineRule="auto"/>
        <w:ind w:firstLine="709"/>
        <w:textDirection w:val="btLr"/>
        <w:textAlignment w:val="top"/>
        <w:outlineLvl w:val="0"/>
        <w:rPr>
          <w:rFonts w:eastAsia="Century Gothic"/>
          <w:color w:val="000000"/>
        </w:rPr>
      </w:pPr>
      <w:r>
        <w:rPr>
          <w:rFonts w:eastAsia="Century Gothic"/>
          <w:color w:val="000000"/>
        </w:rPr>
        <w:t xml:space="preserve">El problema consiste en que a partir del estudio de la historia y de la jurisprudencia Colombiana, se ha visto reflejado que los tres cambios anteriormente mencionados desencadenaron la producción de efectos negativos para la mayoría de los afiliados colombianos que se trasladaron de régimen pensional del RPM al RAIS. </w:t>
      </w:r>
    </w:p>
    <w:p w14:paraId="7CCE2938" w14:textId="043FC667" w:rsidR="00D4078D" w:rsidRDefault="00D4078D" w:rsidP="00800508">
      <w:pPr>
        <w:suppressAutoHyphens/>
        <w:spacing w:line="480" w:lineRule="auto"/>
        <w:ind w:firstLine="709"/>
        <w:textDirection w:val="btLr"/>
        <w:textAlignment w:val="top"/>
        <w:outlineLvl w:val="0"/>
        <w:rPr>
          <w:rFonts w:eastAsia="Century Gothic"/>
          <w:color w:val="000000"/>
        </w:rPr>
      </w:pPr>
      <w:r>
        <w:rPr>
          <w:rFonts w:eastAsia="Century Gothic"/>
          <w:color w:val="000000"/>
        </w:rPr>
        <w:t xml:space="preserve">Los efectos negativos se desencadenaron, porque, los promotores de las </w:t>
      </w:r>
      <w:r w:rsidR="006C5B9A">
        <w:rPr>
          <w:rFonts w:eastAsia="Century Gothic"/>
          <w:color w:val="000000"/>
        </w:rPr>
        <w:t>AFP</w:t>
      </w:r>
      <w:r>
        <w:rPr>
          <w:rFonts w:eastAsia="Century Gothic"/>
          <w:color w:val="000000"/>
        </w:rPr>
        <w:t xml:space="preserve"> del RAIS a partir de su creación, con el fin de obtener afiliados frente a los cuales administrar sus fondos de pensiones, realizaron lo siguiente: 1) empezaron a hacer </w:t>
      </w:r>
      <w:r>
        <w:rPr>
          <w:rFonts w:eastAsia="Century Gothic"/>
          <w:color w:val="000000"/>
        </w:rPr>
        <w:lastRenderedPageBreak/>
        <w:t>visitas masivas a los lugares de trabajo de los ciudadanos colombianos, 2) se aprovecharon de la situación de que el ISS se iba a acabar o a cambiar de denominación para crear temor en el futuro pensional y</w:t>
      </w:r>
      <w:r w:rsidR="007808B5">
        <w:rPr>
          <w:rFonts w:eastAsia="Century Gothic"/>
          <w:color w:val="000000"/>
        </w:rPr>
        <w:t>,</w:t>
      </w:r>
      <w:r>
        <w:rPr>
          <w:rFonts w:eastAsia="Century Gothic"/>
          <w:color w:val="000000"/>
        </w:rPr>
        <w:t xml:space="preserve"> finalmente</w:t>
      </w:r>
      <w:r w:rsidR="007808B5">
        <w:rPr>
          <w:rFonts w:eastAsia="Century Gothic"/>
          <w:color w:val="000000"/>
        </w:rPr>
        <w:t>,</w:t>
      </w:r>
      <w:r>
        <w:rPr>
          <w:rFonts w:eastAsia="Century Gothic"/>
          <w:color w:val="000000"/>
        </w:rPr>
        <w:t xml:space="preserve"> 3) en las asesorías para el acto de afiliación o traslado omitieron el deber de información.  </w:t>
      </w:r>
    </w:p>
    <w:p w14:paraId="31F64C1F" w14:textId="13F892D9" w:rsidR="00BA2432" w:rsidRPr="003F630C" w:rsidRDefault="00BA2432" w:rsidP="00800508">
      <w:pPr>
        <w:spacing w:line="480" w:lineRule="auto"/>
        <w:ind w:hanging="2"/>
        <w:rPr>
          <w:rFonts w:eastAsia="Century Gothic"/>
        </w:rPr>
      </w:pPr>
      <w:r>
        <w:rPr>
          <w:rFonts w:eastAsia="Century Gothic"/>
        </w:rPr>
        <w:t xml:space="preserve">  </w:t>
      </w:r>
      <w:r w:rsidRPr="003F630C">
        <w:rPr>
          <w:rFonts w:eastAsia="Century Gothic"/>
        </w:rPr>
        <w:t xml:space="preserve">El tema ha generado controversias en la situación pensional de los afiliados  o consumidores financieros como consecuencia de una omisión al deber de información por parte de las </w:t>
      </w:r>
      <w:r w:rsidR="006C5B9A">
        <w:rPr>
          <w:rFonts w:eastAsia="Century Gothic"/>
        </w:rPr>
        <w:t>AFP</w:t>
      </w:r>
      <w:r w:rsidRPr="003F630C">
        <w:rPr>
          <w:rFonts w:eastAsia="Century Gothic"/>
        </w:rPr>
        <w:t xml:space="preserve"> al momento del acto jurídico de afiliación o traslado. </w:t>
      </w:r>
    </w:p>
    <w:p w14:paraId="5DA88B92" w14:textId="650F15FC" w:rsidR="00800508" w:rsidRDefault="00D4078D" w:rsidP="00800508">
      <w:pPr>
        <w:suppressAutoHyphens/>
        <w:spacing w:line="480" w:lineRule="auto"/>
        <w:ind w:firstLine="709"/>
        <w:textDirection w:val="btLr"/>
        <w:textAlignment w:val="top"/>
        <w:outlineLvl w:val="0"/>
        <w:rPr>
          <w:rFonts w:eastAsia="Century Gothic"/>
        </w:rPr>
      </w:pPr>
      <w:r>
        <w:rPr>
          <w:rFonts w:eastAsia="Century Gothic"/>
          <w:color w:val="000000"/>
        </w:rPr>
        <w:t>Es a través de las afiliaciones y traslados masivos que se realizaron, que los afiliados actualmente sufren perjuici</w:t>
      </w:r>
      <w:r w:rsidR="00800508">
        <w:rPr>
          <w:rFonts w:eastAsia="Century Gothic"/>
          <w:color w:val="000000"/>
        </w:rPr>
        <w:t>os,</w:t>
      </w:r>
      <w:r>
        <w:rPr>
          <w:rFonts w:eastAsia="Century Gothic"/>
          <w:color w:val="000000"/>
        </w:rPr>
        <w:t xml:space="preserve"> </w:t>
      </w:r>
      <w:r w:rsidR="00E82A88">
        <w:rPr>
          <w:rFonts w:eastAsia="Century Gothic"/>
          <w:color w:val="000000"/>
        </w:rPr>
        <w:t xml:space="preserve"> </w:t>
      </w:r>
      <w:r w:rsidR="007808B5">
        <w:rPr>
          <w:rFonts w:eastAsia="Century Gothic"/>
          <w:color w:val="000000"/>
        </w:rPr>
        <w:t>p</w:t>
      </w:r>
      <w:r w:rsidR="00800508">
        <w:rPr>
          <w:rFonts w:eastAsia="Century Gothic"/>
          <w:color w:val="000000"/>
        </w:rPr>
        <w:t>or lo que</w:t>
      </w:r>
      <w:r>
        <w:rPr>
          <w:rFonts w:eastAsia="Century Gothic"/>
          <w:color w:val="000000"/>
        </w:rPr>
        <w:t xml:space="preserve"> </w:t>
      </w:r>
      <w:r w:rsidR="006C5B9A">
        <w:rPr>
          <w:rFonts w:eastAsia="Century Gothic"/>
          <w:color w:val="000000"/>
        </w:rPr>
        <w:t>surge la pregunta:</w:t>
      </w:r>
      <w:r w:rsidRPr="00D4078D">
        <w:rPr>
          <w:rFonts w:eastAsia="Century Gothic"/>
          <w:color w:val="000000"/>
        </w:rPr>
        <w:t xml:space="preserve"> </w:t>
      </w:r>
      <w:r w:rsidRPr="006C5B9A">
        <w:rPr>
          <w:rFonts w:eastAsia="Century Gothic"/>
          <w:color w:val="000000"/>
        </w:rPr>
        <w:t>¿</w:t>
      </w:r>
      <w:r w:rsidR="006C5B9A">
        <w:rPr>
          <w:rFonts w:eastAsia="Century Gothic"/>
          <w:color w:val="000000"/>
        </w:rPr>
        <w:t>e</w:t>
      </w:r>
      <w:r w:rsidRPr="006C5B9A">
        <w:rPr>
          <w:rFonts w:eastAsia="Century Gothic"/>
        </w:rPr>
        <w:t xml:space="preserve">l consumidor financiero o afiliado podría solicitar como pretensiones la ineficacia de la afiliación, la responsabilidad estatal y la indemnización de perjuicios </w:t>
      </w:r>
      <w:r w:rsidRPr="006C5B9A">
        <w:rPr>
          <w:rFonts w:eastAsia="Century Gothic"/>
          <w:color w:val="000000"/>
        </w:rPr>
        <w:t xml:space="preserve">cuando aduce la ocurrencia de un </w:t>
      </w:r>
      <w:r w:rsidRPr="006C5B9A">
        <w:rPr>
          <w:rFonts w:eastAsia="Century Gothic"/>
        </w:rPr>
        <w:t xml:space="preserve">engaño y/o un </w:t>
      </w:r>
      <w:r w:rsidRPr="006C5B9A">
        <w:rPr>
          <w:rFonts w:eastAsia="Century Gothic"/>
          <w:color w:val="000000"/>
        </w:rPr>
        <w:t xml:space="preserve">daño </w:t>
      </w:r>
      <w:r w:rsidR="00171F25">
        <w:rPr>
          <w:rFonts w:eastAsia="Century Gothic"/>
          <w:color w:val="000000"/>
        </w:rPr>
        <w:t>extra</w:t>
      </w:r>
      <w:r w:rsidRPr="006C5B9A">
        <w:rPr>
          <w:rFonts w:eastAsia="Century Gothic"/>
          <w:color w:val="000000"/>
        </w:rPr>
        <w:t>patrimonial con ocasión a una omisión en la informac</w:t>
      </w:r>
      <w:r w:rsidR="0031504C">
        <w:rPr>
          <w:rFonts w:eastAsia="Century Gothic"/>
          <w:color w:val="000000"/>
        </w:rPr>
        <w:t>ión dada por el asesor de una AFP</w:t>
      </w:r>
      <w:r w:rsidRPr="006C5B9A">
        <w:rPr>
          <w:rFonts w:eastAsia="Century Gothic"/>
          <w:color w:val="000000"/>
        </w:rPr>
        <w:t xml:space="preserve"> y </w:t>
      </w:r>
      <w:r w:rsidRPr="006C5B9A">
        <w:rPr>
          <w:rFonts w:eastAsia="Century Gothic"/>
        </w:rPr>
        <w:t xml:space="preserve">a una omisión al deber de inspección, vigilancia y control por parte de la Superintendencia </w:t>
      </w:r>
      <w:r w:rsidR="007808B5">
        <w:rPr>
          <w:rFonts w:eastAsia="Century Gothic"/>
        </w:rPr>
        <w:t>F</w:t>
      </w:r>
      <w:r w:rsidRPr="006C5B9A">
        <w:rPr>
          <w:rFonts w:eastAsia="Century Gothic"/>
        </w:rPr>
        <w:t>inanciera</w:t>
      </w:r>
      <w:r w:rsidRPr="006C5B9A">
        <w:rPr>
          <w:rFonts w:eastAsia="Century Gothic"/>
          <w:color w:val="000000"/>
        </w:rPr>
        <w:t xml:space="preserve"> al momento del acto </w:t>
      </w:r>
      <w:r w:rsidRPr="006C5B9A">
        <w:rPr>
          <w:rFonts w:eastAsia="Century Gothic"/>
        </w:rPr>
        <w:t>jurídico</w:t>
      </w:r>
      <w:r w:rsidRPr="006C5B9A">
        <w:rPr>
          <w:rFonts w:eastAsia="Century Gothic"/>
          <w:color w:val="000000"/>
        </w:rPr>
        <w:t xml:space="preserve"> de </w:t>
      </w:r>
      <w:r w:rsidRPr="006C5B9A">
        <w:rPr>
          <w:rFonts w:eastAsia="Century Gothic"/>
        </w:rPr>
        <w:t>afiliación</w:t>
      </w:r>
      <w:r w:rsidRPr="006C5B9A">
        <w:rPr>
          <w:rFonts w:eastAsia="Century Gothic"/>
          <w:color w:val="000000"/>
        </w:rPr>
        <w:t xml:space="preserve"> o traslado</w:t>
      </w:r>
      <w:r w:rsidRPr="006C5B9A">
        <w:rPr>
          <w:rFonts w:eastAsia="Century Gothic"/>
        </w:rPr>
        <w:t>?</w:t>
      </w:r>
    </w:p>
    <w:p w14:paraId="50C54F3D" w14:textId="1B749F0F" w:rsidR="00BA2432" w:rsidRPr="00BA2432" w:rsidRDefault="00BA2432" w:rsidP="00800508">
      <w:pPr>
        <w:suppressAutoHyphens/>
        <w:spacing w:line="480" w:lineRule="auto"/>
        <w:ind w:firstLine="709"/>
        <w:textDirection w:val="btLr"/>
        <w:textAlignment w:val="top"/>
        <w:outlineLvl w:val="0"/>
        <w:rPr>
          <w:rFonts w:eastAsia="Century Gothic"/>
        </w:rPr>
      </w:pPr>
      <w:r>
        <w:rPr>
          <w:rFonts w:eastAsia="Century Gothic"/>
        </w:rPr>
        <w:t xml:space="preserve">Para desarrollar el problema jurídico </w:t>
      </w:r>
      <w:r w:rsidR="00E82A88">
        <w:rPr>
          <w:rFonts w:eastAsia="Century Gothic"/>
        </w:rPr>
        <w:t>planteado s</w:t>
      </w:r>
      <w:r w:rsidR="00E82A88" w:rsidRPr="00BA2432">
        <w:rPr>
          <w:rFonts w:eastAsia="Century Gothic"/>
        </w:rPr>
        <w:t>e utilizará el método descriptivo a través del estudio normativ</w:t>
      </w:r>
      <w:r w:rsidR="00E82A88">
        <w:rPr>
          <w:rFonts w:eastAsia="Century Gothic"/>
        </w:rPr>
        <w:t xml:space="preserve">o, jurisprudencial y doctrinal y se </w:t>
      </w:r>
      <w:r>
        <w:rPr>
          <w:rFonts w:eastAsia="Century Gothic"/>
        </w:rPr>
        <w:t>analizar</w:t>
      </w:r>
      <w:r w:rsidR="007808B5">
        <w:rPr>
          <w:rFonts w:eastAsia="Century Gothic"/>
        </w:rPr>
        <w:t>á</w:t>
      </w:r>
      <w:r>
        <w:rPr>
          <w:rFonts w:eastAsia="Century Gothic"/>
        </w:rPr>
        <w:t>n los siguientes aspectos:</w:t>
      </w:r>
    </w:p>
    <w:p w14:paraId="58C1F55D" w14:textId="6A0BF093" w:rsidR="00BA2432" w:rsidRPr="006C5B9A" w:rsidRDefault="00BA2432" w:rsidP="00800508">
      <w:pPr>
        <w:pStyle w:val="Prrafodelista"/>
        <w:numPr>
          <w:ilvl w:val="0"/>
          <w:numId w:val="16"/>
        </w:numPr>
        <w:suppressAutoHyphens/>
        <w:spacing w:line="480" w:lineRule="auto"/>
        <w:textDirection w:val="btLr"/>
        <w:textAlignment w:val="top"/>
        <w:outlineLvl w:val="0"/>
        <w:rPr>
          <w:rFonts w:ascii="Times New Roman" w:eastAsia="Century Gothic" w:hAnsi="Times New Roman" w:cs="Times New Roman"/>
          <w:sz w:val="24"/>
        </w:rPr>
      </w:pPr>
      <w:r w:rsidRPr="006C5B9A">
        <w:rPr>
          <w:rFonts w:ascii="Times New Roman" w:eastAsia="Century Gothic" w:hAnsi="Times New Roman" w:cs="Times New Roman"/>
          <w:color w:val="000000"/>
          <w:sz w:val="24"/>
        </w:rPr>
        <w:t>I</w:t>
      </w:r>
      <w:r w:rsidR="00AB63DB" w:rsidRPr="006C5B9A">
        <w:rPr>
          <w:rFonts w:ascii="Times New Roman" w:eastAsia="Century Gothic" w:hAnsi="Times New Roman" w:cs="Times New Roman"/>
          <w:color w:val="000000"/>
          <w:sz w:val="24"/>
        </w:rPr>
        <w:t xml:space="preserve">dentificar la Línea y precedente jurisprudencial del la Corte Suprema de Justicia frente al proceso de Ineficacia de la Afiliación en torno a la omisión al deber de información por parte de las </w:t>
      </w:r>
      <w:r w:rsidR="006C5B9A" w:rsidRPr="006C5B9A">
        <w:rPr>
          <w:rFonts w:ascii="Times New Roman" w:eastAsia="Century Gothic" w:hAnsi="Times New Roman" w:cs="Times New Roman"/>
          <w:color w:val="000000"/>
          <w:sz w:val="24"/>
        </w:rPr>
        <w:t>AFP</w:t>
      </w:r>
      <w:r w:rsidRPr="006C5B9A">
        <w:rPr>
          <w:rFonts w:ascii="Times New Roman" w:eastAsia="Century Gothic" w:hAnsi="Times New Roman" w:cs="Times New Roman"/>
          <w:color w:val="000000"/>
          <w:sz w:val="24"/>
        </w:rPr>
        <w:t xml:space="preserve"> a </w:t>
      </w:r>
      <w:r w:rsidR="006C5B9A" w:rsidRPr="006C5B9A">
        <w:rPr>
          <w:rFonts w:ascii="Times New Roman" w:eastAsia="Century Gothic" w:hAnsi="Times New Roman" w:cs="Times New Roman"/>
          <w:color w:val="000000"/>
          <w:sz w:val="24"/>
        </w:rPr>
        <w:t>través</w:t>
      </w:r>
      <w:r w:rsidR="006C5B9A">
        <w:rPr>
          <w:rFonts w:ascii="Times New Roman" w:eastAsia="Century Gothic" w:hAnsi="Times New Roman" w:cs="Times New Roman"/>
          <w:color w:val="000000"/>
          <w:sz w:val="24"/>
        </w:rPr>
        <w:t xml:space="preserve"> del estudio de las sentencias.</w:t>
      </w:r>
      <w:r w:rsidRPr="006C5B9A">
        <w:rPr>
          <w:rFonts w:ascii="Times New Roman" w:eastAsia="Century Gothic" w:hAnsi="Times New Roman" w:cs="Times New Roman"/>
          <w:color w:val="000000"/>
          <w:sz w:val="24"/>
        </w:rPr>
        <w:t xml:space="preserve"> </w:t>
      </w:r>
    </w:p>
    <w:p w14:paraId="653769D1" w14:textId="6406D624" w:rsidR="00BA2432" w:rsidRPr="006C5B9A" w:rsidRDefault="00AB63DB" w:rsidP="00800508">
      <w:pPr>
        <w:pStyle w:val="Prrafodelista"/>
        <w:numPr>
          <w:ilvl w:val="0"/>
          <w:numId w:val="16"/>
        </w:numPr>
        <w:suppressAutoHyphens/>
        <w:spacing w:line="480" w:lineRule="auto"/>
        <w:textDirection w:val="btLr"/>
        <w:textAlignment w:val="top"/>
        <w:outlineLvl w:val="0"/>
        <w:rPr>
          <w:rFonts w:ascii="Times New Roman" w:eastAsia="Century Gothic" w:hAnsi="Times New Roman" w:cs="Times New Roman"/>
          <w:sz w:val="24"/>
        </w:rPr>
      </w:pPr>
      <w:r w:rsidRPr="006C5B9A">
        <w:rPr>
          <w:rFonts w:ascii="Times New Roman" w:eastAsia="Century Gothic" w:hAnsi="Times New Roman" w:cs="Times New Roman"/>
          <w:sz w:val="24"/>
        </w:rPr>
        <w:t xml:space="preserve">Determinar la viabilidad de la responsabilidad civil y la responsabilidad estatal como mecanismos procedentes para reparar y prevenir daños </w:t>
      </w:r>
      <w:r w:rsidRPr="006C5B9A">
        <w:rPr>
          <w:rFonts w:ascii="Times New Roman" w:eastAsia="Century Gothic" w:hAnsi="Times New Roman" w:cs="Times New Roman"/>
          <w:sz w:val="24"/>
        </w:rPr>
        <w:lastRenderedPageBreak/>
        <w:t xml:space="preserve">patrimoniales por parte de las </w:t>
      </w:r>
      <w:r w:rsidR="006C5B9A" w:rsidRPr="006C5B9A">
        <w:rPr>
          <w:rFonts w:ascii="Times New Roman" w:eastAsia="Century Gothic" w:hAnsi="Times New Roman" w:cs="Times New Roman"/>
          <w:sz w:val="24"/>
        </w:rPr>
        <w:t>AFP</w:t>
      </w:r>
      <w:r w:rsidRPr="006C5B9A">
        <w:rPr>
          <w:rFonts w:ascii="Times New Roman" w:eastAsia="Century Gothic" w:hAnsi="Times New Roman" w:cs="Times New Roman"/>
          <w:sz w:val="24"/>
        </w:rPr>
        <w:t xml:space="preserve"> del </w:t>
      </w:r>
      <w:r w:rsidR="006C5B9A" w:rsidRPr="006C5B9A">
        <w:rPr>
          <w:rFonts w:ascii="Times New Roman" w:eastAsia="Century Gothic" w:hAnsi="Times New Roman" w:cs="Times New Roman"/>
          <w:sz w:val="24"/>
        </w:rPr>
        <w:t>RAIS</w:t>
      </w:r>
      <w:r w:rsidRPr="006C5B9A">
        <w:rPr>
          <w:rFonts w:ascii="Times New Roman" w:eastAsia="Century Gothic" w:hAnsi="Times New Roman" w:cs="Times New Roman"/>
          <w:sz w:val="24"/>
        </w:rPr>
        <w:t xml:space="preserve"> y de la Superintendencia </w:t>
      </w:r>
      <w:r w:rsidR="007808B5">
        <w:rPr>
          <w:rFonts w:ascii="Times New Roman" w:eastAsia="Century Gothic" w:hAnsi="Times New Roman" w:cs="Times New Roman"/>
          <w:sz w:val="24"/>
        </w:rPr>
        <w:t>F</w:t>
      </w:r>
      <w:r w:rsidRPr="006C5B9A">
        <w:rPr>
          <w:rFonts w:ascii="Times New Roman" w:eastAsia="Century Gothic" w:hAnsi="Times New Roman" w:cs="Times New Roman"/>
          <w:sz w:val="24"/>
        </w:rPr>
        <w:t xml:space="preserve">inanciera a un </w:t>
      </w:r>
      <w:r w:rsidR="00FF08DA">
        <w:rPr>
          <w:rFonts w:ascii="Times New Roman" w:eastAsia="Century Gothic" w:hAnsi="Times New Roman" w:cs="Times New Roman"/>
          <w:sz w:val="24"/>
        </w:rPr>
        <w:t>afiliado</w:t>
      </w:r>
      <w:r w:rsidRPr="006C5B9A">
        <w:rPr>
          <w:rFonts w:ascii="Times New Roman" w:eastAsia="Century Gothic" w:hAnsi="Times New Roman" w:cs="Times New Roman"/>
          <w:sz w:val="24"/>
        </w:rPr>
        <w:t xml:space="preserve"> al momento del acto jurídico de afiliación o traslado. </w:t>
      </w:r>
    </w:p>
    <w:p w14:paraId="790F520D" w14:textId="6DB104BE" w:rsidR="00E82A88" w:rsidRPr="006C5B9A" w:rsidRDefault="006C5B9A" w:rsidP="00800508">
      <w:pPr>
        <w:pStyle w:val="Prrafodelista"/>
        <w:numPr>
          <w:ilvl w:val="0"/>
          <w:numId w:val="16"/>
        </w:numPr>
        <w:suppressAutoHyphens/>
        <w:spacing w:line="480" w:lineRule="auto"/>
        <w:textDirection w:val="btLr"/>
        <w:textAlignment w:val="top"/>
        <w:outlineLvl w:val="0"/>
        <w:rPr>
          <w:rFonts w:ascii="Times New Roman" w:eastAsia="Century Gothic" w:hAnsi="Times New Roman" w:cs="Times New Roman"/>
          <w:sz w:val="24"/>
        </w:rPr>
      </w:pPr>
      <w:r>
        <w:rPr>
          <w:rFonts w:ascii="Times New Roman" w:eastAsia="Century Gothic" w:hAnsi="Times New Roman" w:cs="Times New Roman"/>
          <w:sz w:val="24"/>
        </w:rPr>
        <w:t>El alcance de los siguientes conceptos</w:t>
      </w:r>
      <w:r w:rsidR="00BA2432" w:rsidRPr="006C5B9A">
        <w:rPr>
          <w:rFonts w:ascii="Times New Roman" w:eastAsia="Century Gothic" w:hAnsi="Times New Roman" w:cs="Times New Roman"/>
          <w:sz w:val="24"/>
        </w:rPr>
        <w:t xml:space="preserve">: </w:t>
      </w:r>
      <w:r>
        <w:rPr>
          <w:rFonts w:ascii="Times New Roman" w:eastAsia="Century Gothic" w:hAnsi="Times New Roman" w:cs="Times New Roman"/>
          <w:sz w:val="24"/>
        </w:rPr>
        <w:t>a</w:t>
      </w:r>
      <w:r w:rsidR="00BA2432" w:rsidRPr="006C5B9A">
        <w:rPr>
          <w:rFonts w:ascii="Times New Roman" w:eastAsia="Century Gothic" w:hAnsi="Times New Roman" w:cs="Times New Roman"/>
          <w:sz w:val="24"/>
        </w:rPr>
        <w:t xml:space="preserve">) </w:t>
      </w:r>
      <w:r w:rsidR="00AB63DB" w:rsidRPr="006C5B9A">
        <w:rPr>
          <w:rFonts w:ascii="Times New Roman" w:eastAsia="Century Gothic" w:hAnsi="Times New Roman" w:cs="Times New Roman"/>
          <w:sz w:val="24"/>
        </w:rPr>
        <w:t xml:space="preserve">principio de libertad de selección del sistema; </w:t>
      </w:r>
      <w:r>
        <w:rPr>
          <w:rFonts w:ascii="Times New Roman" w:eastAsia="Century Gothic" w:hAnsi="Times New Roman" w:cs="Times New Roman"/>
          <w:sz w:val="24"/>
        </w:rPr>
        <w:t>b</w:t>
      </w:r>
      <w:r w:rsidR="00AB63DB" w:rsidRPr="006C5B9A">
        <w:rPr>
          <w:rFonts w:ascii="Times New Roman" w:eastAsia="Century Gothic" w:hAnsi="Times New Roman" w:cs="Times New Roman"/>
          <w:sz w:val="24"/>
        </w:rPr>
        <w:t xml:space="preserve">) regímenes pensionales; </w:t>
      </w:r>
      <w:r w:rsidR="005F4BBA">
        <w:rPr>
          <w:rFonts w:ascii="Times New Roman" w:eastAsia="Century Gothic" w:hAnsi="Times New Roman" w:cs="Times New Roman"/>
          <w:sz w:val="24"/>
        </w:rPr>
        <w:t>c</w:t>
      </w:r>
      <w:r w:rsidR="00AB63DB" w:rsidRPr="006C5B9A">
        <w:rPr>
          <w:rFonts w:ascii="Times New Roman" w:eastAsia="Century Gothic" w:hAnsi="Times New Roman" w:cs="Times New Roman"/>
          <w:sz w:val="24"/>
        </w:rPr>
        <w:t>) acto jurídico de afiliación y/o tra</w:t>
      </w:r>
      <w:r w:rsidR="00BA2432" w:rsidRPr="006C5B9A">
        <w:rPr>
          <w:rFonts w:ascii="Times New Roman" w:eastAsia="Century Gothic" w:hAnsi="Times New Roman" w:cs="Times New Roman"/>
          <w:sz w:val="24"/>
        </w:rPr>
        <w:t xml:space="preserve">slado; </w:t>
      </w:r>
      <w:r w:rsidR="005F4BBA">
        <w:rPr>
          <w:rFonts w:ascii="Times New Roman" w:eastAsia="Century Gothic" w:hAnsi="Times New Roman" w:cs="Times New Roman"/>
          <w:sz w:val="24"/>
        </w:rPr>
        <w:t>d</w:t>
      </w:r>
      <w:r w:rsidR="00BA2432" w:rsidRPr="006C5B9A">
        <w:rPr>
          <w:rFonts w:ascii="Times New Roman" w:eastAsia="Century Gothic" w:hAnsi="Times New Roman" w:cs="Times New Roman"/>
          <w:sz w:val="24"/>
        </w:rPr>
        <w:t>) deber de información</w:t>
      </w:r>
      <w:r w:rsidR="00E82A88" w:rsidRPr="006C5B9A">
        <w:rPr>
          <w:rFonts w:ascii="Times New Roman" w:eastAsia="Century Gothic" w:hAnsi="Times New Roman" w:cs="Times New Roman"/>
          <w:sz w:val="24"/>
        </w:rPr>
        <w:t xml:space="preserve">; </w:t>
      </w:r>
      <w:r w:rsidR="005F4BBA">
        <w:rPr>
          <w:rFonts w:ascii="Times New Roman" w:eastAsia="Century Gothic" w:hAnsi="Times New Roman" w:cs="Times New Roman"/>
          <w:sz w:val="24"/>
        </w:rPr>
        <w:t>e</w:t>
      </w:r>
      <w:r w:rsidR="00BA2432" w:rsidRPr="006C5B9A">
        <w:rPr>
          <w:rFonts w:ascii="Times New Roman" w:eastAsia="Century Gothic" w:hAnsi="Times New Roman" w:cs="Times New Roman"/>
          <w:sz w:val="24"/>
        </w:rPr>
        <w:t xml:space="preserve">) La </w:t>
      </w:r>
      <w:r w:rsidR="00E82A88" w:rsidRPr="006C5B9A">
        <w:rPr>
          <w:rFonts w:ascii="Times New Roman" w:eastAsia="Century Gothic" w:hAnsi="Times New Roman" w:cs="Times New Roman"/>
          <w:sz w:val="24"/>
        </w:rPr>
        <w:t>indemnización de perjuicios</w:t>
      </w:r>
      <w:r w:rsidR="005F4BBA">
        <w:rPr>
          <w:rFonts w:ascii="Times New Roman" w:eastAsia="Century Gothic" w:hAnsi="Times New Roman" w:cs="Times New Roman"/>
          <w:sz w:val="24"/>
        </w:rPr>
        <w:t>,</w:t>
      </w:r>
      <w:r w:rsidR="00E82A88" w:rsidRPr="006C5B9A">
        <w:rPr>
          <w:rFonts w:ascii="Times New Roman" w:eastAsia="Century Gothic" w:hAnsi="Times New Roman" w:cs="Times New Roman"/>
          <w:sz w:val="24"/>
        </w:rPr>
        <w:t xml:space="preserve"> y </w:t>
      </w:r>
      <w:r w:rsidR="005F4BBA">
        <w:rPr>
          <w:rFonts w:ascii="Times New Roman" w:eastAsia="Century Gothic" w:hAnsi="Times New Roman" w:cs="Times New Roman"/>
          <w:sz w:val="24"/>
        </w:rPr>
        <w:t>f</w:t>
      </w:r>
      <w:r w:rsidR="00E82A88" w:rsidRPr="006C5B9A">
        <w:rPr>
          <w:rFonts w:ascii="Times New Roman" w:eastAsia="Century Gothic" w:hAnsi="Times New Roman" w:cs="Times New Roman"/>
          <w:sz w:val="24"/>
        </w:rPr>
        <w:t>) perjuicios extrapatrimoniales.</w:t>
      </w:r>
    </w:p>
    <w:p w14:paraId="31474DBD" w14:textId="0BDF7568" w:rsidR="00E82A88" w:rsidRPr="006C5B9A" w:rsidRDefault="00E82A88" w:rsidP="00800508">
      <w:pPr>
        <w:pStyle w:val="Prrafodelista"/>
        <w:numPr>
          <w:ilvl w:val="0"/>
          <w:numId w:val="16"/>
        </w:numPr>
        <w:suppressAutoHyphens/>
        <w:spacing w:line="480" w:lineRule="auto"/>
        <w:textDirection w:val="btLr"/>
        <w:textAlignment w:val="top"/>
        <w:outlineLvl w:val="0"/>
        <w:rPr>
          <w:rFonts w:ascii="Times New Roman" w:eastAsia="Century Gothic" w:hAnsi="Times New Roman" w:cs="Times New Roman"/>
          <w:sz w:val="24"/>
        </w:rPr>
      </w:pPr>
      <w:r w:rsidRPr="006C5B9A">
        <w:rPr>
          <w:rFonts w:ascii="Times New Roman" w:eastAsia="Century Gothic" w:hAnsi="Times New Roman" w:cs="Times New Roman"/>
          <w:sz w:val="24"/>
        </w:rPr>
        <w:t xml:space="preserve">La </w:t>
      </w:r>
      <w:r w:rsidR="00AB63DB" w:rsidRPr="006C5B9A">
        <w:rPr>
          <w:rFonts w:ascii="Times New Roman" w:eastAsia="Century Gothic" w:hAnsi="Times New Roman" w:cs="Times New Roman"/>
          <w:sz w:val="24"/>
        </w:rPr>
        <w:t>responsabilidad de</w:t>
      </w:r>
      <w:r w:rsidR="005F4BBA">
        <w:rPr>
          <w:rFonts w:ascii="Times New Roman" w:eastAsia="Century Gothic" w:hAnsi="Times New Roman" w:cs="Times New Roman"/>
          <w:sz w:val="24"/>
        </w:rPr>
        <w:t xml:space="preserve"> los promotores de las AFP.</w:t>
      </w:r>
    </w:p>
    <w:p w14:paraId="224FA380" w14:textId="6AE65C06" w:rsidR="002641FF" w:rsidRPr="00BF1BB3" w:rsidRDefault="00E82A88" w:rsidP="00BF1BB3">
      <w:pPr>
        <w:pStyle w:val="Prrafodelista"/>
        <w:numPr>
          <w:ilvl w:val="0"/>
          <w:numId w:val="16"/>
        </w:numPr>
        <w:suppressAutoHyphens/>
        <w:spacing w:line="480" w:lineRule="auto"/>
        <w:textDirection w:val="btLr"/>
        <w:textAlignment w:val="top"/>
        <w:outlineLvl w:val="0"/>
        <w:rPr>
          <w:rFonts w:ascii="Times New Roman" w:eastAsia="Century Gothic" w:hAnsi="Times New Roman" w:cs="Times New Roman"/>
          <w:sz w:val="24"/>
        </w:rPr>
      </w:pPr>
      <w:r w:rsidRPr="006C5B9A">
        <w:rPr>
          <w:rFonts w:ascii="Times New Roman" w:eastAsia="Century Gothic" w:hAnsi="Times New Roman" w:cs="Times New Roman"/>
          <w:sz w:val="24"/>
        </w:rPr>
        <w:t xml:space="preserve">La </w:t>
      </w:r>
      <w:r w:rsidR="00AB63DB" w:rsidRPr="006C5B9A">
        <w:rPr>
          <w:rFonts w:ascii="Times New Roman" w:eastAsia="Century Gothic" w:hAnsi="Times New Roman" w:cs="Times New Roman"/>
          <w:sz w:val="24"/>
        </w:rPr>
        <w:t xml:space="preserve">responsabilidad de la Superintendencia </w:t>
      </w:r>
      <w:r w:rsidR="007808B5">
        <w:rPr>
          <w:rFonts w:ascii="Times New Roman" w:eastAsia="Century Gothic" w:hAnsi="Times New Roman" w:cs="Times New Roman"/>
          <w:sz w:val="24"/>
        </w:rPr>
        <w:t>F</w:t>
      </w:r>
      <w:r w:rsidR="00AB63DB" w:rsidRPr="006C5B9A">
        <w:rPr>
          <w:rFonts w:ascii="Times New Roman" w:eastAsia="Century Gothic" w:hAnsi="Times New Roman" w:cs="Times New Roman"/>
          <w:sz w:val="24"/>
        </w:rPr>
        <w:t xml:space="preserve">inanciera. </w:t>
      </w:r>
    </w:p>
    <w:p w14:paraId="7B795531" w14:textId="64401DEB" w:rsidR="00413511" w:rsidRPr="003F630C" w:rsidRDefault="00413511" w:rsidP="006214A2">
      <w:pPr>
        <w:pBdr>
          <w:top w:val="nil"/>
          <w:left w:val="nil"/>
          <w:bottom w:val="nil"/>
          <w:right w:val="nil"/>
          <w:between w:val="nil"/>
        </w:pBdr>
        <w:spacing w:line="480" w:lineRule="auto"/>
        <w:jc w:val="both"/>
        <w:rPr>
          <w:rFonts w:eastAsia="Century Gothic"/>
        </w:rPr>
      </w:pPr>
      <w:bookmarkStart w:id="5" w:name="Problema_jurídico"/>
      <w:r w:rsidRPr="002641FF">
        <w:rPr>
          <w:rFonts w:eastAsia="Century Gothic"/>
          <w:b/>
          <w:color w:val="000000"/>
        </w:rPr>
        <w:t>Planteamiento del problema jurídico</w:t>
      </w:r>
      <w:r>
        <w:rPr>
          <w:rFonts w:eastAsia="Century Gothic"/>
          <w:b/>
          <w:color w:val="000000"/>
        </w:rPr>
        <w:t xml:space="preserve"> </w:t>
      </w:r>
    </w:p>
    <w:bookmarkEnd w:id="5"/>
    <w:p w14:paraId="63E25703" w14:textId="226534F0" w:rsidR="00413511" w:rsidRPr="003F630C" w:rsidRDefault="00413511" w:rsidP="006214A2">
      <w:pPr>
        <w:pBdr>
          <w:top w:val="nil"/>
          <w:left w:val="nil"/>
          <w:bottom w:val="nil"/>
          <w:right w:val="nil"/>
          <w:between w:val="nil"/>
        </w:pBdr>
        <w:spacing w:line="480" w:lineRule="auto"/>
        <w:ind w:firstLine="709"/>
        <w:jc w:val="both"/>
        <w:rPr>
          <w:rFonts w:eastAsia="Century Gothic"/>
        </w:rPr>
      </w:pPr>
      <w:r w:rsidRPr="002641FF">
        <w:rPr>
          <w:rFonts w:eastAsia="Century Gothic"/>
          <w:color w:val="000000"/>
        </w:rPr>
        <w:t xml:space="preserve">  ¿</w:t>
      </w:r>
      <w:r w:rsidRPr="002641FF">
        <w:rPr>
          <w:rFonts w:eastAsia="Century Gothic"/>
        </w:rPr>
        <w:t xml:space="preserve">El consumidor financiero o afiliado podría </w:t>
      </w:r>
      <w:r w:rsidR="00816812">
        <w:rPr>
          <w:rFonts w:eastAsia="Century Gothic"/>
        </w:rPr>
        <w:t>pretender</w:t>
      </w:r>
      <w:r w:rsidR="009D525D">
        <w:rPr>
          <w:rFonts w:eastAsia="Century Gothic"/>
        </w:rPr>
        <w:t xml:space="preserve"> la ineficacia de la afiliación;</w:t>
      </w:r>
      <w:r w:rsidRPr="002641FF">
        <w:rPr>
          <w:rFonts w:eastAsia="Century Gothic"/>
        </w:rPr>
        <w:t xml:space="preserve"> la indemnización de perjuicios</w:t>
      </w:r>
      <w:r w:rsidR="00816812">
        <w:rPr>
          <w:rFonts w:eastAsia="Century Gothic"/>
        </w:rPr>
        <w:t xml:space="preserve"> por parte de la AFP y la reparación directa</w:t>
      </w:r>
      <w:r w:rsidR="009D525D">
        <w:rPr>
          <w:rFonts w:eastAsia="Century Gothic"/>
        </w:rPr>
        <w:t xml:space="preserve">, a título de falla en el servicio, por parte de la Superintendencia Financiera de Colombia; </w:t>
      </w:r>
      <w:r w:rsidRPr="002641FF">
        <w:rPr>
          <w:rFonts w:eastAsia="Century Gothic"/>
          <w:color w:val="000000"/>
        </w:rPr>
        <w:t xml:space="preserve">cuando aduce la ocurrencia de un </w:t>
      </w:r>
      <w:r w:rsidRPr="002641FF">
        <w:rPr>
          <w:rFonts w:eastAsia="Century Gothic"/>
        </w:rPr>
        <w:t xml:space="preserve">engaño y/o un </w:t>
      </w:r>
      <w:r w:rsidRPr="002641FF">
        <w:rPr>
          <w:rFonts w:eastAsia="Century Gothic"/>
          <w:color w:val="000000"/>
        </w:rPr>
        <w:t xml:space="preserve">daño patrimonial con ocasión a una omisión en la información dada por el asesor de una Administradora de Fondos de pensiones y </w:t>
      </w:r>
      <w:r w:rsidRPr="002641FF">
        <w:rPr>
          <w:rFonts w:eastAsia="Century Gothic"/>
        </w:rPr>
        <w:t>a una omisión</w:t>
      </w:r>
      <w:r w:rsidR="009D525D">
        <w:rPr>
          <w:rFonts w:eastAsia="Century Gothic"/>
        </w:rPr>
        <w:t xml:space="preserve"> y/o un retardo</w:t>
      </w:r>
      <w:r w:rsidRPr="002641FF">
        <w:rPr>
          <w:rFonts w:eastAsia="Century Gothic"/>
        </w:rPr>
        <w:t xml:space="preserve"> </w:t>
      </w:r>
      <w:r w:rsidR="00BF1BB3">
        <w:rPr>
          <w:rFonts w:eastAsia="Century Gothic"/>
        </w:rPr>
        <w:t xml:space="preserve">en la función </w:t>
      </w:r>
      <w:r w:rsidRPr="002641FF">
        <w:rPr>
          <w:rFonts w:eastAsia="Century Gothic"/>
        </w:rPr>
        <w:t xml:space="preserve">de inspección, vigilancia y control por parte de la Superintendencia </w:t>
      </w:r>
      <w:r w:rsidR="007808B5">
        <w:rPr>
          <w:rFonts w:eastAsia="Century Gothic"/>
        </w:rPr>
        <w:t>F</w:t>
      </w:r>
      <w:r w:rsidRPr="002641FF">
        <w:rPr>
          <w:rFonts w:eastAsia="Century Gothic"/>
        </w:rPr>
        <w:t>inanciera</w:t>
      </w:r>
      <w:r w:rsidRPr="002641FF">
        <w:rPr>
          <w:rFonts w:eastAsia="Century Gothic"/>
          <w:color w:val="000000"/>
        </w:rPr>
        <w:t xml:space="preserve"> al momento del acto </w:t>
      </w:r>
      <w:r w:rsidRPr="002641FF">
        <w:rPr>
          <w:rFonts w:eastAsia="Century Gothic"/>
        </w:rPr>
        <w:t>jurídico</w:t>
      </w:r>
      <w:r w:rsidRPr="002641FF">
        <w:rPr>
          <w:rFonts w:eastAsia="Century Gothic"/>
          <w:color w:val="000000"/>
        </w:rPr>
        <w:t xml:space="preserve"> de </w:t>
      </w:r>
      <w:r w:rsidRPr="002641FF">
        <w:rPr>
          <w:rFonts w:eastAsia="Century Gothic"/>
        </w:rPr>
        <w:t>afiliación</w:t>
      </w:r>
      <w:r w:rsidRPr="002641FF">
        <w:rPr>
          <w:rFonts w:eastAsia="Century Gothic"/>
          <w:color w:val="000000"/>
        </w:rPr>
        <w:t xml:space="preserve"> o traslado</w:t>
      </w:r>
      <w:r w:rsidRPr="002641FF">
        <w:rPr>
          <w:rFonts w:eastAsia="Century Gothic"/>
        </w:rPr>
        <w:t>?</w:t>
      </w:r>
    </w:p>
    <w:p w14:paraId="7D30E707" w14:textId="2E9B9472" w:rsidR="00413511" w:rsidRPr="003F630C" w:rsidRDefault="00413511" w:rsidP="006214A2">
      <w:pPr>
        <w:spacing w:line="480" w:lineRule="auto"/>
        <w:ind w:firstLine="709"/>
        <w:rPr>
          <w:rFonts w:eastAsia="Century Gothic"/>
        </w:rPr>
      </w:pPr>
      <w:r w:rsidRPr="003F630C">
        <w:rPr>
          <w:rFonts w:eastAsia="Century Gothic"/>
        </w:rPr>
        <w:t xml:space="preserve">  El tema ha generado controversias en la situación pensional de los afiliados  o consumidores financieros como consecuencia de </w:t>
      </w:r>
      <w:r w:rsidR="009D525D">
        <w:rPr>
          <w:rFonts w:eastAsia="Century Gothic"/>
        </w:rPr>
        <w:t xml:space="preserve">la </w:t>
      </w:r>
      <w:r w:rsidRPr="003F630C">
        <w:rPr>
          <w:rFonts w:eastAsia="Century Gothic"/>
        </w:rPr>
        <w:t>omisión al deber de información por parte de las</w:t>
      </w:r>
      <w:r w:rsidR="009D525D">
        <w:rPr>
          <w:rFonts w:eastAsia="Century Gothic"/>
        </w:rPr>
        <w:t xml:space="preserve"> AFP</w:t>
      </w:r>
      <w:r w:rsidRPr="003F630C">
        <w:rPr>
          <w:rFonts w:eastAsia="Century Gothic"/>
        </w:rPr>
        <w:t xml:space="preserve"> al momento del acto jurídico de afiliación o traslado. </w:t>
      </w:r>
    </w:p>
    <w:p w14:paraId="41BA6634" w14:textId="439FBB88" w:rsidR="00413511" w:rsidRPr="003F630C" w:rsidRDefault="00413511" w:rsidP="006214A2">
      <w:pPr>
        <w:spacing w:line="480" w:lineRule="auto"/>
        <w:ind w:firstLine="709"/>
        <w:rPr>
          <w:rFonts w:eastAsia="Century Gothic"/>
        </w:rPr>
      </w:pPr>
      <w:r w:rsidRPr="003F630C">
        <w:rPr>
          <w:rFonts w:eastAsia="Century Gothic"/>
        </w:rPr>
        <w:t xml:space="preserve">  Es</w:t>
      </w:r>
      <w:r w:rsidR="009D525D">
        <w:rPr>
          <w:rFonts w:eastAsia="Century Gothic"/>
        </w:rPr>
        <w:t xml:space="preserve"> un</w:t>
      </w:r>
      <w:r w:rsidRPr="003F630C">
        <w:rPr>
          <w:rFonts w:eastAsia="Century Gothic"/>
        </w:rPr>
        <w:t xml:space="preserve"> asunto problemático, que ha generado un debate jurídico donde la </w:t>
      </w:r>
      <w:r w:rsidR="009D525D">
        <w:rPr>
          <w:rFonts w:eastAsia="Century Gothic"/>
        </w:rPr>
        <w:t xml:space="preserve">Sala Laboral de la </w:t>
      </w:r>
      <w:r w:rsidRPr="003F630C">
        <w:rPr>
          <w:rFonts w:eastAsia="Century Gothic"/>
        </w:rPr>
        <w:t xml:space="preserve">Corte Suprema de Justicia, ha sido reiterativa en manifestar que la </w:t>
      </w:r>
      <w:r w:rsidRPr="003F630C">
        <w:rPr>
          <w:rFonts w:eastAsia="Century Gothic"/>
        </w:rPr>
        <w:lastRenderedPageBreak/>
        <w:t>ineficacia es procedente como consecuencia de la omisión al deber de información por parte de una AFP al momento del acto jurídico de afiliación o traslado en sentencias:</w:t>
      </w:r>
    </w:p>
    <w:p w14:paraId="007A6D3F" w14:textId="274A33E4" w:rsidR="002641FF" w:rsidRPr="006214A2" w:rsidRDefault="002641FF" w:rsidP="006214A2">
      <w:pPr>
        <w:pStyle w:val="Prrafodelista"/>
        <w:widowControl w:val="0"/>
        <w:numPr>
          <w:ilvl w:val="0"/>
          <w:numId w:val="33"/>
        </w:numPr>
        <w:spacing w:line="480" w:lineRule="auto"/>
        <w:jc w:val="both"/>
        <w:rPr>
          <w:rFonts w:ascii="Times New Roman" w:eastAsia="Century Gothic" w:hAnsi="Times New Roman" w:cs="Times New Roman"/>
          <w:sz w:val="24"/>
        </w:rPr>
      </w:pPr>
      <w:r w:rsidRPr="006214A2">
        <w:rPr>
          <w:rFonts w:ascii="Times New Roman" w:eastAsia="Century Gothic" w:hAnsi="Times New Roman" w:cs="Times New Roman"/>
          <w:sz w:val="24"/>
        </w:rPr>
        <w:t>Corte Suprema de Justicia, Sala Laboral</w:t>
      </w:r>
      <w:r w:rsidR="001722D2" w:rsidRPr="006214A2">
        <w:rPr>
          <w:rFonts w:ascii="Times New Roman" w:eastAsia="Century Gothic" w:hAnsi="Times New Roman" w:cs="Times New Roman"/>
          <w:sz w:val="24"/>
        </w:rPr>
        <w:t xml:space="preserve"> </w:t>
      </w:r>
      <w:r w:rsidRPr="006214A2">
        <w:rPr>
          <w:rFonts w:ascii="Times New Roman" w:eastAsia="Century Gothic" w:hAnsi="Times New Roman" w:cs="Times New Roman"/>
          <w:sz w:val="24"/>
        </w:rPr>
        <w:t>(2008). Sentencia del 09 de septiembre. Radicación</w:t>
      </w:r>
      <w:r w:rsidR="001722D2" w:rsidRPr="006214A2">
        <w:rPr>
          <w:rFonts w:ascii="Times New Roman" w:eastAsia="Century Gothic" w:hAnsi="Times New Roman" w:cs="Times New Roman"/>
          <w:sz w:val="24"/>
        </w:rPr>
        <w:t xml:space="preserve"> N°</w:t>
      </w:r>
      <w:r w:rsidRPr="006214A2">
        <w:rPr>
          <w:rFonts w:ascii="Times New Roman" w:eastAsia="Century Gothic" w:hAnsi="Times New Roman" w:cs="Times New Roman"/>
          <w:sz w:val="24"/>
        </w:rPr>
        <w:t xml:space="preserve"> 31989.</w:t>
      </w:r>
    </w:p>
    <w:p w14:paraId="6B55A8A2" w14:textId="524EECF7" w:rsidR="002641FF" w:rsidRPr="006214A2" w:rsidRDefault="002641FF" w:rsidP="006214A2">
      <w:pPr>
        <w:pStyle w:val="Prrafodelista"/>
        <w:widowControl w:val="0"/>
        <w:numPr>
          <w:ilvl w:val="0"/>
          <w:numId w:val="33"/>
        </w:numPr>
        <w:spacing w:line="480" w:lineRule="auto"/>
        <w:jc w:val="both"/>
        <w:rPr>
          <w:rFonts w:ascii="Times New Roman" w:eastAsia="Century Gothic" w:hAnsi="Times New Roman" w:cs="Times New Roman"/>
          <w:sz w:val="24"/>
        </w:rPr>
      </w:pPr>
      <w:r w:rsidRPr="006214A2">
        <w:rPr>
          <w:rFonts w:ascii="Times New Roman" w:eastAsia="Century Gothic" w:hAnsi="Times New Roman" w:cs="Times New Roman"/>
          <w:sz w:val="24"/>
        </w:rPr>
        <w:t>Corte Su</w:t>
      </w:r>
      <w:r w:rsidR="001722D2" w:rsidRPr="006214A2">
        <w:rPr>
          <w:rFonts w:ascii="Times New Roman" w:eastAsia="Century Gothic" w:hAnsi="Times New Roman" w:cs="Times New Roman"/>
          <w:sz w:val="24"/>
        </w:rPr>
        <w:t xml:space="preserve">prema de Justicia, Sala Laboral </w:t>
      </w:r>
      <w:r w:rsidRPr="006214A2">
        <w:rPr>
          <w:rFonts w:ascii="Times New Roman" w:eastAsia="Century Gothic" w:hAnsi="Times New Roman" w:cs="Times New Roman"/>
          <w:sz w:val="24"/>
        </w:rPr>
        <w:t>(2008). Sentencia del 09 de septiembre. Radicación</w:t>
      </w:r>
      <w:r w:rsidR="001722D2" w:rsidRPr="006214A2">
        <w:rPr>
          <w:rFonts w:ascii="Times New Roman" w:eastAsia="Century Gothic" w:hAnsi="Times New Roman" w:cs="Times New Roman"/>
          <w:sz w:val="24"/>
        </w:rPr>
        <w:t xml:space="preserve"> N°</w:t>
      </w:r>
      <w:r w:rsidRPr="006214A2">
        <w:rPr>
          <w:rFonts w:ascii="Times New Roman" w:eastAsia="Century Gothic" w:hAnsi="Times New Roman" w:cs="Times New Roman"/>
          <w:sz w:val="24"/>
        </w:rPr>
        <w:t xml:space="preserve"> 31314.</w:t>
      </w:r>
    </w:p>
    <w:p w14:paraId="648D5E7C" w14:textId="19EE592C" w:rsidR="002641FF" w:rsidRPr="006214A2" w:rsidRDefault="002641FF" w:rsidP="006214A2">
      <w:pPr>
        <w:pStyle w:val="Prrafodelista"/>
        <w:widowControl w:val="0"/>
        <w:numPr>
          <w:ilvl w:val="0"/>
          <w:numId w:val="33"/>
        </w:numPr>
        <w:spacing w:line="480" w:lineRule="auto"/>
        <w:jc w:val="both"/>
        <w:rPr>
          <w:rFonts w:ascii="Times New Roman" w:eastAsia="Century Gothic" w:hAnsi="Times New Roman" w:cs="Times New Roman"/>
          <w:sz w:val="24"/>
        </w:rPr>
      </w:pPr>
      <w:r w:rsidRPr="006214A2">
        <w:rPr>
          <w:rFonts w:ascii="Times New Roman" w:eastAsia="Century Gothic" w:hAnsi="Times New Roman" w:cs="Times New Roman"/>
          <w:sz w:val="24"/>
        </w:rPr>
        <w:t>Corte Sup</w:t>
      </w:r>
      <w:r w:rsidR="001722D2" w:rsidRPr="006214A2">
        <w:rPr>
          <w:rFonts w:ascii="Times New Roman" w:eastAsia="Century Gothic" w:hAnsi="Times New Roman" w:cs="Times New Roman"/>
          <w:sz w:val="24"/>
        </w:rPr>
        <w:t xml:space="preserve">rema de Justicia, Sala Laboral </w:t>
      </w:r>
      <w:r w:rsidRPr="006214A2">
        <w:rPr>
          <w:rFonts w:ascii="Times New Roman" w:eastAsia="Century Gothic" w:hAnsi="Times New Roman" w:cs="Times New Roman"/>
          <w:sz w:val="24"/>
        </w:rPr>
        <w:t>(2011). Sentencia del 22 de noviembre. Radicación</w:t>
      </w:r>
      <w:r w:rsidR="001722D2" w:rsidRPr="006214A2">
        <w:rPr>
          <w:rFonts w:ascii="Times New Roman" w:eastAsia="Century Gothic" w:hAnsi="Times New Roman" w:cs="Times New Roman"/>
          <w:sz w:val="24"/>
        </w:rPr>
        <w:t xml:space="preserve"> N°</w:t>
      </w:r>
      <w:r w:rsidRPr="006214A2">
        <w:rPr>
          <w:rFonts w:ascii="Times New Roman" w:eastAsia="Century Gothic" w:hAnsi="Times New Roman" w:cs="Times New Roman"/>
          <w:sz w:val="24"/>
        </w:rPr>
        <w:t xml:space="preserve"> 33083.</w:t>
      </w:r>
    </w:p>
    <w:p w14:paraId="7D533DCF" w14:textId="6DDD1C1E" w:rsidR="002641FF" w:rsidRPr="006214A2" w:rsidRDefault="002641FF" w:rsidP="006214A2">
      <w:pPr>
        <w:pStyle w:val="Prrafodelista"/>
        <w:widowControl w:val="0"/>
        <w:numPr>
          <w:ilvl w:val="0"/>
          <w:numId w:val="33"/>
        </w:numPr>
        <w:spacing w:line="480" w:lineRule="auto"/>
        <w:jc w:val="both"/>
        <w:rPr>
          <w:rFonts w:ascii="Times New Roman" w:eastAsia="Century Gothic" w:hAnsi="Times New Roman" w:cs="Times New Roman"/>
          <w:sz w:val="24"/>
        </w:rPr>
      </w:pPr>
      <w:r w:rsidRPr="006214A2">
        <w:rPr>
          <w:rFonts w:ascii="Times New Roman" w:eastAsia="Century Gothic" w:hAnsi="Times New Roman" w:cs="Times New Roman"/>
          <w:sz w:val="24"/>
        </w:rPr>
        <w:t>Corte Suprema de Justicia, Sala Laboral (2013). Radicación</w:t>
      </w:r>
      <w:r w:rsidR="001722D2" w:rsidRPr="006214A2">
        <w:rPr>
          <w:rFonts w:ascii="Times New Roman" w:eastAsia="Century Gothic" w:hAnsi="Times New Roman" w:cs="Times New Roman"/>
          <w:sz w:val="24"/>
        </w:rPr>
        <w:t xml:space="preserve"> N°</w:t>
      </w:r>
      <w:r w:rsidRPr="006214A2">
        <w:rPr>
          <w:rFonts w:ascii="Times New Roman" w:eastAsia="Century Gothic" w:hAnsi="Times New Roman" w:cs="Times New Roman"/>
          <w:sz w:val="24"/>
        </w:rPr>
        <w:t xml:space="preserve"> 49741.</w:t>
      </w:r>
    </w:p>
    <w:p w14:paraId="0A1DF2B3" w14:textId="7B510296" w:rsidR="001722D2" w:rsidRPr="006214A2" w:rsidRDefault="002641FF" w:rsidP="006214A2">
      <w:pPr>
        <w:pStyle w:val="Prrafodelista"/>
        <w:widowControl w:val="0"/>
        <w:numPr>
          <w:ilvl w:val="0"/>
          <w:numId w:val="33"/>
        </w:numPr>
        <w:spacing w:line="480" w:lineRule="auto"/>
        <w:jc w:val="both"/>
        <w:rPr>
          <w:rFonts w:ascii="Times New Roman" w:eastAsia="Century Gothic" w:hAnsi="Times New Roman" w:cs="Times New Roman"/>
          <w:sz w:val="24"/>
        </w:rPr>
      </w:pPr>
      <w:r w:rsidRPr="006214A2">
        <w:rPr>
          <w:rFonts w:ascii="Times New Roman" w:eastAsia="Century Gothic" w:hAnsi="Times New Roman" w:cs="Times New Roman"/>
          <w:sz w:val="24"/>
        </w:rPr>
        <w:t>Corte Su</w:t>
      </w:r>
      <w:r w:rsidR="001722D2" w:rsidRPr="006214A2">
        <w:rPr>
          <w:rFonts w:ascii="Times New Roman" w:eastAsia="Century Gothic" w:hAnsi="Times New Roman" w:cs="Times New Roman"/>
          <w:sz w:val="24"/>
        </w:rPr>
        <w:t>prema de Justicia, Sala Laboral</w:t>
      </w:r>
      <w:r w:rsidRPr="006214A2">
        <w:rPr>
          <w:rFonts w:ascii="Times New Roman" w:eastAsia="Century Gothic" w:hAnsi="Times New Roman" w:cs="Times New Roman"/>
          <w:sz w:val="24"/>
        </w:rPr>
        <w:t xml:space="preserve"> (2014). Radicación</w:t>
      </w:r>
      <w:r w:rsidR="001722D2" w:rsidRPr="006214A2">
        <w:rPr>
          <w:rFonts w:ascii="Times New Roman" w:eastAsia="Century Gothic" w:hAnsi="Times New Roman" w:cs="Times New Roman"/>
          <w:sz w:val="24"/>
        </w:rPr>
        <w:t xml:space="preserve"> N°</w:t>
      </w:r>
      <w:r w:rsidRPr="006214A2">
        <w:rPr>
          <w:rFonts w:ascii="Times New Roman" w:eastAsia="Century Gothic" w:hAnsi="Times New Roman" w:cs="Times New Roman"/>
          <w:sz w:val="24"/>
        </w:rPr>
        <w:t xml:space="preserve"> 12136</w:t>
      </w:r>
      <w:r w:rsidR="001722D2" w:rsidRPr="006214A2">
        <w:rPr>
          <w:rFonts w:ascii="Times New Roman" w:eastAsia="Century Gothic" w:hAnsi="Times New Roman" w:cs="Times New Roman"/>
          <w:sz w:val="24"/>
        </w:rPr>
        <w:t>.</w:t>
      </w:r>
    </w:p>
    <w:p w14:paraId="70172681" w14:textId="2EA7BE98" w:rsidR="001722D2" w:rsidRPr="006214A2" w:rsidRDefault="002641FF" w:rsidP="006214A2">
      <w:pPr>
        <w:pStyle w:val="Prrafodelista"/>
        <w:widowControl w:val="0"/>
        <w:numPr>
          <w:ilvl w:val="0"/>
          <w:numId w:val="33"/>
        </w:numPr>
        <w:spacing w:line="480" w:lineRule="auto"/>
        <w:jc w:val="both"/>
        <w:rPr>
          <w:rFonts w:ascii="Times New Roman" w:eastAsia="Century Gothic" w:hAnsi="Times New Roman" w:cs="Times New Roman"/>
          <w:sz w:val="24"/>
        </w:rPr>
      </w:pPr>
      <w:r w:rsidRPr="006214A2">
        <w:rPr>
          <w:rFonts w:ascii="Times New Roman" w:eastAsia="Century Gothic" w:hAnsi="Times New Roman" w:cs="Times New Roman"/>
          <w:sz w:val="24"/>
        </w:rPr>
        <w:t>Corte Su</w:t>
      </w:r>
      <w:r w:rsidR="001722D2" w:rsidRPr="006214A2">
        <w:rPr>
          <w:rFonts w:ascii="Times New Roman" w:eastAsia="Century Gothic" w:hAnsi="Times New Roman" w:cs="Times New Roman"/>
          <w:sz w:val="24"/>
        </w:rPr>
        <w:t>prema de Justicia, Sala Laboral</w:t>
      </w:r>
      <w:r w:rsidRPr="006214A2">
        <w:rPr>
          <w:rFonts w:ascii="Times New Roman" w:eastAsia="Century Gothic" w:hAnsi="Times New Roman" w:cs="Times New Roman"/>
          <w:sz w:val="24"/>
        </w:rPr>
        <w:t xml:space="preserve"> (2014). Sentencia del 03 de septiembre. Radicación</w:t>
      </w:r>
      <w:r w:rsidR="001722D2" w:rsidRPr="006214A2">
        <w:rPr>
          <w:rFonts w:ascii="Times New Roman" w:eastAsia="Century Gothic" w:hAnsi="Times New Roman" w:cs="Times New Roman"/>
          <w:sz w:val="24"/>
        </w:rPr>
        <w:t xml:space="preserve"> N°</w:t>
      </w:r>
      <w:r w:rsidRPr="006214A2">
        <w:rPr>
          <w:rFonts w:ascii="Times New Roman" w:eastAsia="Century Gothic" w:hAnsi="Times New Roman" w:cs="Times New Roman"/>
          <w:sz w:val="24"/>
        </w:rPr>
        <w:t xml:space="preserve"> 46292</w:t>
      </w:r>
      <w:r w:rsidR="001722D2" w:rsidRPr="006214A2">
        <w:rPr>
          <w:rFonts w:ascii="Times New Roman" w:eastAsia="Century Gothic" w:hAnsi="Times New Roman" w:cs="Times New Roman"/>
          <w:sz w:val="24"/>
        </w:rPr>
        <w:t>.</w:t>
      </w:r>
    </w:p>
    <w:p w14:paraId="3AE05667" w14:textId="77777777" w:rsidR="0090303C" w:rsidRPr="006214A2" w:rsidRDefault="002641FF" w:rsidP="006214A2">
      <w:pPr>
        <w:pStyle w:val="Prrafodelista"/>
        <w:widowControl w:val="0"/>
        <w:numPr>
          <w:ilvl w:val="0"/>
          <w:numId w:val="33"/>
        </w:numPr>
        <w:spacing w:line="480" w:lineRule="auto"/>
        <w:jc w:val="both"/>
        <w:rPr>
          <w:rFonts w:ascii="Times New Roman" w:eastAsia="Century Gothic" w:hAnsi="Times New Roman" w:cs="Times New Roman"/>
          <w:sz w:val="24"/>
        </w:rPr>
      </w:pPr>
      <w:r w:rsidRPr="006214A2">
        <w:rPr>
          <w:rFonts w:ascii="Times New Roman" w:eastAsia="Century Gothic" w:hAnsi="Times New Roman" w:cs="Times New Roman"/>
          <w:sz w:val="24"/>
        </w:rPr>
        <w:t>Corte Su</w:t>
      </w:r>
      <w:r w:rsidR="0090303C" w:rsidRPr="006214A2">
        <w:rPr>
          <w:rFonts w:ascii="Times New Roman" w:eastAsia="Century Gothic" w:hAnsi="Times New Roman" w:cs="Times New Roman"/>
          <w:sz w:val="24"/>
        </w:rPr>
        <w:t>prema de Justicia, Sala Laboral</w:t>
      </w:r>
      <w:r w:rsidRPr="006214A2">
        <w:rPr>
          <w:rFonts w:ascii="Times New Roman" w:eastAsia="Century Gothic" w:hAnsi="Times New Roman" w:cs="Times New Roman"/>
          <w:sz w:val="24"/>
        </w:rPr>
        <w:t xml:space="preserve"> (2017). Sentencia del 27 de septiembre. Radicación </w:t>
      </w:r>
      <w:r w:rsidR="0090303C" w:rsidRPr="006214A2">
        <w:rPr>
          <w:rFonts w:ascii="Times New Roman" w:eastAsia="Century Gothic" w:hAnsi="Times New Roman" w:cs="Times New Roman"/>
          <w:sz w:val="24"/>
        </w:rPr>
        <w:t xml:space="preserve">N° </w:t>
      </w:r>
      <w:r w:rsidRPr="006214A2">
        <w:rPr>
          <w:rFonts w:ascii="Times New Roman" w:eastAsia="Century Gothic" w:hAnsi="Times New Roman" w:cs="Times New Roman"/>
          <w:sz w:val="24"/>
        </w:rPr>
        <w:t>19447</w:t>
      </w:r>
      <w:r w:rsidR="0090303C" w:rsidRPr="006214A2">
        <w:rPr>
          <w:rFonts w:ascii="Times New Roman" w:eastAsia="Century Gothic" w:hAnsi="Times New Roman" w:cs="Times New Roman"/>
          <w:sz w:val="24"/>
        </w:rPr>
        <w:t>.</w:t>
      </w:r>
    </w:p>
    <w:p w14:paraId="620C99FC" w14:textId="77777777" w:rsidR="0090303C" w:rsidRPr="006214A2" w:rsidRDefault="002641FF" w:rsidP="006214A2">
      <w:pPr>
        <w:pStyle w:val="Prrafodelista"/>
        <w:widowControl w:val="0"/>
        <w:numPr>
          <w:ilvl w:val="0"/>
          <w:numId w:val="33"/>
        </w:numPr>
        <w:spacing w:line="480" w:lineRule="auto"/>
        <w:jc w:val="both"/>
        <w:rPr>
          <w:rFonts w:ascii="Times New Roman" w:eastAsia="Century Gothic" w:hAnsi="Times New Roman" w:cs="Times New Roman"/>
          <w:sz w:val="24"/>
        </w:rPr>
      </w:pPr>
      <w:r w:rsidRPr="006214A2">
        <w:rPr>
          <w:rFonts w:ascii="Times New Roman" w:eastAsia="Century Gothic" w:hAnsi="Times New Roman" w:cs="Times New Roman"/>
          <w:sz w:val="24"/>
        </w:rPr>
        <w:t>Corte Suprema de Justicia, Sala Laboral</w:t>
      </w:r>
      <w:r w:rsidR="0090303C" w:rsidRPr="006214A2">
        <w:rPr>
          <w:rFonts w:ascii="Times New Roman" w:eastAsia="Century Gothic" w:hAnsi="Times New Roman" w:cs="Times New Roman"/>
          <w:sz w:val="24"/>
        </w:rPr>
        <w:t xml:space="preserve"> </w:t>
      </w:r>
      <w:r w:rsidRPr="006214A2">
        <w:rPr>
          <w:rFonts w:ascii="Times New Roman" w:eastAsia="Century Gothic" w:hAnsi="Times New Roman" w:cs="Times New Roman"/>
          <w:sz w:val="24"/>
        </w:rPr>
        <w:t>(2017). Sentencia del 18 de octubre. Radicación</w:t>
      </w:r>
      <w:r w:rsidR="0090303C" w:rsidRPr="006214A2">
        <w:rPr>
          <w:rFonts w:ascii="Times New Roman" w:eastAsia="Century Gothic" w:hAnsi="Times New Roman" w:cs="Times New Roman"/>
          <w:sz w:val="24"/>
        </w:rPr>
        <w:t xml:space="preserve"> N°</w:t>
      </w:r>
      <w:r w:rsidRPr="006214A2">
        <w:rPr>
          <w:rFonts w:ascii="Times New Roman" w:eastAsia="Century Gothic" w:hAnsi="Times New Roman" w:cs="Times New Roman"/>
          <w:sz w:val="24"/>
        </w:rPr>
        <w:t xml:space="preserve"> 17595</w:t>
      </w:r>
      <w:r w:rsidR="0090303C" w:rsidRPr="006214A2">
        <w:rPr>
          <w:rFonts w:ascii="Times New Roman" w:eastAsia="Century Gothic" w:hAnsi="Times New Roman" w:cs="Times New Roman"/>
          <w:sz w:val="24"/>
        </w:rPr>
        <w:t>.</w:t>
      </w:r>
    </w:p>
    <w:p w14:paraId="2F570E47" w14:textId="77777777" w:rsidR="0090303C" w:rsidRPr="006214A2" w:rsidRDefault="002641FF" w:rsidP="006214A2">
      <w:pPr>
        <w:pStyle w:val="Prrafodelista"/>
        <w:widowControl w:val="0"/>
        <w:numPr>
          <w:ilvl w:val="0"/>
          <w:numId w:val="33"/>
        </w:numPr>
        <w:spacing w:line="480" w:lineRule="auto"/>
        <w:jc w:val="both"/>
        <w:rPr>
          <w:rFonts w:ascii="Times New Roman" w:eastAsia="Century Gothic" w:hAnsi="Times New Roman" w:cs="Times New Roman"/>
          <w:sz w:val="24"/>
        </w:rPr>
      </w:pPr>
      <w:r w:rsidRPr="006214A2">
        <w:rPr>
          <w:rFonts w:ascii="Times New Roman" w:eastAsia="Century Gothic" w:hAnsi="Times New Roman" w:cs="Times New Roman"/>
          <w:sz w:val="24"/>
        </w:rPr>
        <w:t>Corte Suprema de Justicia, Sala Laboral</w:t>
      </w:r>
      <w:r w:rsidR="0090303C" w:rsidRPr="006214A2">
        <w:rPr>
          <w:rFonts w:ascii="Times New Roman" w:eastAsia="Century Gothic" w:hAnsi="Times New Roman" w:cs="Times New Roman"/>
          <w:sz w:val="24"/>
        </w:rPr>
        <w:t xml:space="preserve"> </w:t>
      </w:r>
      <w:r w:rsidRPr="006214A2">
        <w:rPr>
          <w:rFonts w:ascii="Times New Roman" w:eastAsia="Century Gothic" w:hAnsi="Times New Roman" w:cs="Times New Roman"/>
          <w:sz w:val="24"/>
        </w:rPr>
        <w:t xml:space="preserve">(2018). Radicación </w:t>
      </w:r>
      <w:r w:rsidR="0090303C" w:rsidRPr="006214A2">
        <w:rPr>
          <w:rFonts w:ascii="Times New Roman" w:eastAsia="Century Gothic" w:hAnsi="Times New Roman" w:cs="Times New Roman"/>
          <w:sz w:val="24"/>
        </w:rPr>
        <w:t xml:space="preserve">N° </w:t>
      </w:r>
      <w:r w:rsidRPr="006214A2">
        <w:rPr>
          <w:rFonts w:ascii="Times New Roman" w:eastAsia="Century Gothic" w:hAnsi="Times New Roman" w:cs="Times New Roman"/>
          <w:sz w:val="24"/>
        </w:rPr>
        <w:t>4296</w:t>
      </w:r>
      <w:r w:rsidR="0090303C" w:rsidRPr="006214A2">
        <w:rPr>
          <w:rFonts w:ascii="Times New Roman" w:eastAsia="Century Gothic" w:hAnsi="Times New Roman" w:cs="Times New Roman"/>
          <w:sz w:val="24"/>
        </w:rPr>
        <w:t>.</w:t>
      </w:r>
    </w:p>
    <w:p w14:paraId="0FC86B00" w14:textId="77777777" w:rsidR="0090303C" w:rsidRPr="006214A2" w:rsidRDefault="002641FF" w:rsidP="006214A2">
      <w:pPr>
        <w:pStyle w:val="Prrafodelista"/>
        <w:widowControl w:val="0"/>
        <w:numPr>
          <w:ilvl w:val="0"/>
          <w:numId w:val="33"/>
        </w:numPr>
        <w:spacing w:line="480" w:lineRule="auto"/>
        <w:jc w:val="both"/>
        <w:rPr>
          <w:rFonts w:ascii="Times New Roman" w:eastAsia="Century Gothic" w:hAnsi="Times New Roman" w:cs="Times New Roman"/>
          <w:sz w:val="24"/>
        </w:rPr>
      </w:pPr>
      <w:r w:rsidRPr="006214A2">
        <w:rPr>
          <w:rFonts w:ascii="Times New Roman" w:eastAsia="Century Gothic" w:hAnsi="Times New Roman" w:cs="Times New Roman"/>
          <w:sz w:val="24"/>
        </w:rPr>
        <w:t>Corte Su</w:t>
      </w:r>
      <w:r w:rsidR="0090303C" w:rsidRPr="006214A2">
        <w:rPr>
          <w:rFonts w:ascii="Times New Roman" w:eastAsia="Century Gothic" w:hAnsi="Times New Roman" w:cs="Times New Roman"/>
          <w:sz w:val="24"/>
        </w:rPr>
        <w:t>prema de Justicia, Sala Laboral</w:t>
      </w:r>
      <w:r w:rsidRPr="006214A2">
        <w:rPr>
          <w:rFonts w:ascii="Times New Roman" w:eastAsia="Century Gothic" w:hAnsi="Times New Roman" w:cs="Times New Roman"/>
          <w:sz w:val="24"/>
        </w:rPr>
        <w:t xml:space="preserve"> (2018). Radicación </w:t>
      </w:r>
      <w:r w:rsidR="0090303C" w:rsidRPr="006214A2">
        <w:rPr>
          <w:rFonts w:ascii="Times New Roman" w:eastAsia="Century Gothic" w:hAnsi="Times New Roman" w:cs="Times New Roman"/>
          <w:sz w:val="24"/>
        </w:rPr>
        <w:t xml:space="preserve">N° </w:t>
      </w:r>
      <w:r w:rsidRPr="006214A2">
        <w:rPr>
          <w:rFonts w:ascii="Times New Roman" w:eastAsia="Century Gothic" w:hAnsi="Times New Roman" w:cs="Times New Roman"/>
          <w:sz w:val="24"/>
        </w:rPr>
        <w:t>4964</w:t>
      </w:r>
      <w:r w:rsidR="0090303C" w:rsidRPr="006214A2">
        <w:rPr>
          <w:rFonts w:ascii="Times New Roman" w:eastAsia="Century Gothic" w:hAnsi="Times New Roman" w:cs="Times New Roman"/>
          <w:sz w:val="24"/>
        </w:rPr>
        <w:t>.</w:t>
      </w:r>
    </w:p>
    <w:p w14:paraId="4EA1B007" w14:textId="6E6E26B5" w:rsidR="002641FF" w:rsidRPr="006214A2" w:rsidRDefault="002641FF" w:rsidP="006214A2">
      <w:pPr>
        <w:pStyle w:val="Prrafodelista"/>
        <w:widowControl w:val="0"/>
        <w:numPr>
          <w:ilvl w:val="0"/>
          <w:numId w:val="33"/>
        </w:numPr>
        <w:spacing w:line="480" w:lineRule="auto"/>
        <w:jc w:val="both"/>
        <w:rPr>
          <w:rFonts w:ascii="Times New Roman" w:eastAsia="Century Gothic" w:hAnsi="Times New Roman" w:cs="Times New Roman"/>
          <w:sz w:val="24"/>
        </w:rPr>
      </w:pPr>
      <w:r w:rsidRPr="006214A2">
        <w:rPr>
          <w:rFonts w:ascii="Times New Roman" w:eastAsia="Century Gothic" w:hAnsi="Times New Roman" w:cs="Times New Roman"/>
          <w:sz w:val="24"/>
        </w:rPr>
        <w:t xml:space="preserve">Corte Suprema de Justicia, Sala Laboral (2018). Radicación </w:t>
      </w:r>
      <w:r w:rsidR="0090303C" w:rsidRPr="006214A2">
        <w:rPr>
          <w:rFonts w:ascii="Times New Roman" w:eastAsia="Century Gothic" w:hAnsi="Times New Roman" w:cs="Times New Roman"/>
          <w:sz w:val="24"/>
        </w:rPr>
        <w:t xml:space="preserve">N° </w:t>
      </w:r>
      <w:r w:rsidRPr="006214A2">
        <w:rPr>
          <w:rFonts w:ascii="Times New Roman" w:eastAsia="Century Gothic" w:hAnsi="Times New Roman" w:cs="Times New Roman"/>
          <w:sz w:val="24"/>
        </w:rPr>
        <w:t>4689</w:t>
      </w:r>
      <w:r w:rsidR="0090303C" w:rsidRPr="006214A2">
        <w:rPr>
          <w:rFonts w:ascii="Times New Roman" w:eastAsia="Century Gothic" w:hAnsi="Times New Roman" w:cs="Times New Roman"/>
          <w:sz w:val="24"/>
        </w:rPr>
        <w:t>.</w:t>
      </w:r>
    </w:p>
    <w:p w14:paraId="2BEAE392" w14:textId="1B0A87B6" w:rsidR="002641FF" w:rsidRPr="006214A2" w:rsidRDefault="002641FF" w:rsidP="006214A2">
      <w:pPr>
        <w:pStyle w:val="Prrafodelista"/>
        <w:widowControl w:val="0"/>
        <w:numPr>
          <w:ilvl w:val="0"/>
          <w:numId w:val="33"/>
        </w:numPr>
        <w:spacing w:line="480" w:lineRule="auto"/>
        <w:jc w:val="both"/>
        <w:rPr>
          <w:rFonts w:ascii="Times New Roman" w:eastAsia="Century Gothic" w:hAnsi="Times New Roman" w:cs="Times New Roman"/>
          <w:sz w:val="24"/>
        </w:rPr>
      </w:pPr>
      <w:r w:rsidRPr="006214A2">
        <w:rPr>
          <w:rFonts w:ascii="Times New Roman" w:eastAsia="Century Gothic" w:hAnsi="Times New Roman" w:cs="Times New Roman"/>
          <w:sz w:val="24"/>
        </w:rPr>
        <w:t>Corte Su</w:t>
      </w:r>
      <w:r w:rsidR="0090303C" w:rsidRPr="006214A2">
        <w:rPr>
          <w:rFonts w:ascii="Times New Roman" w:eastAsia="Century Gothic" w:hAnsi="Times New Roman" w:cs="Times New Roman"/>
          <w:sz w:val="24"/>
        </w:rPr>
        <w:t>prema de Justicia, Sala Laboral</w:t>
      </w:r>
      <w:r w:rsidRPr="006214A2">
        <w:rPr>
          <w:rFonts w:ascii="Times New Roman" w:eastAsia="Century Gothic" w:hAnsi="Times New Roman" w:cs="Times New Roman"/>
          <w:sz w:val="24"/>
        </w:rPr>
        <w:t xml:space="preserve"> (2018). Radicación</w:t>
      </w:r>
      <w:r w:rsidR="0090303C" w:rsidRPr="006214A2">
        <w:rPr>
          <w:rFonts w:ascii="Times New Roman" w:eastAsia="Century Gothic" w:hAnsi="Times New Roman" w:cs="Times New Roman"/>
          <w:sz w:val="24"/>
        </w:rPr>
        <w:t xml:space="preserve"> N°</w:t>
      </w:r>
      <w:r w:rsidRPr="006214A2">
        <w:rPr>
          <w:rFonts w:ascii="Times New Roman" w:eastAsia="Century Gothic" w:hAnsi="Times New Roman" w:cs="Times New Roman"/>
          <w:sz w:val="24"/>
        </w:rPr>
        <w:t xml:space="preserve"> 4989</w:t>
      </w:r>
      <w:r w:rsidR="0090303C" w:rsidRPr="006214A2">
        <w:rPr>
          <w:rFonts w:ascii="Times New Roman" w:eastAsia="Century Gothic" w:hAnsi="Times New Roman" w:cs="Times New Roman"/>
          <w:sz w:val="24"/>
        </w:rPr>
        <w:t>.</w:t>
      </w:r>
    </w:p>
    <w:p w14:paraId="6D292882" w14:textId="04E56F69" w:rsidR="002641FF" w:rsidRPr="006214A2" w:rsidRDefault="002641FF" w:rsidP="006214A2">
      <w:pPr>
        <w:pStyle w:val="Prrafodelista"/>
        <w:widowControl w:val="0"/>
        <w:numPr>
          <w:ilvl w:val="0"/>
          <w:numId w:val="33"/>
        </w:numPr>
        <w:spacing w:line="480" w:lineRule="auto"/>
        <w:jc w:val="both"/>
        <w:rPr>
          <w:rFonts w:ascii="Times New Roman" w:eastAsia="Century Gothic" w:hAnsi="Times New Roman" w:cs="Times New Roman"/>
          <w:sz w:val="24"/>
        </w:rPr>
      </w:pPr>
      <w:r w:rsidRPr="006214A2">
        <w:rPr>
          <w:rFonts w:ascii="Times New Roman" w:eastAsia="Century Gothic" w:hAnsi="Times New Roman" w:cs="Times New Roman"/>
          <w:sz w:val="24"/>
        </w:rPr>
        <w:t xml:space="preserve">Corte Suprema de Justicia, Sala Laboral (2019). Sentencia del 3 de abril. Radicación </w:t>
      </w:r>
      <w:r w:rsidR="0090303C" w:rsidRPr="006214A2">
        <w:rPr>
          <w:rFonts w:ascii="Times New Roman" w:eastAsia="Century Gothic" w:hAnsi="Times New Roman" w:cs="Times New Roman"/>
          <w:sz w:val="24"/>
        </w:rPr>
        <w:t xml:space="preserve">N° </w:t>
      </w:r>
      <w:r w:rsidRPr="006214A2">
        <w:rPr>
          <w:rFonts w:ascii="Times New Roman" w:eastAsia="Century Gothic" w:hAnsi="Times New Roman" w:cs="Times New Roman"/>
          <w:sz w:val="24"/>
        </w:rPr>
        <w:t>1452</w:t>
      </w:r>
      <w:r w:rsidR="0090303C" w:rsidRPr="006214A2">
        <w:rPr>
          <w:rFonts w:ascii="Times New Roman" w:eastAsia="Century Gothic" w:hAnsi="Times New Roman" w:cs="Times New Roman"/>
          <w:sz w:val="24"/>
        </w:rPr>
        <w:t>.</w:t>
      </w:r>
    </w:p>
    <w:p w14:paraId="5F040693" w14:textId="43279D1B" w:rsidR="002641FF" w:rsidRPr="006214A2" w:rsidRDefault="002641FF" w:rsidP="006214A2">
      <w:pPr>
        <w:pStyle w:val="Prrafodelista"/>
        <w:widowControl w:val="0"/>
        <w:numPr>
          <w:ilvl w:val="0"/>
          <w:numId w:val="33"/>
        </w:numPr>
        <w:spacing w:line="480" w:lineRule="auto"/>
        <w:jc w:val="both"/>
        <w:rPr>
          <w:rFonts w:ascii="Times New Roman" w:eastAsia="Century Gothic" w:hAnsi="Times New Roman" w:cs="Times New Roman"/>
          <w:sz w:val="24"/>
        </w:rPr>
      </w:pPr>
      <w:r w:rsidRPr="006214A2">
        <w:rPr>
          <w:rFonts w:ascii="Times New Roman" w:eastAsia="Century Gothic" w:hAnsi="Times New Roman" w:cs="Times New Roman"/>
          <w:sz w:val="24"/>
        </w:rPr>
        <w:t xml:space="preserve">Corte Suprema de Justicia, Sala Laboral (2019). Sentencia del 10 de abril. </w:t>
      </w:r>
      <w:r w:rsidRPr="006214A2">
        <w:rPr>
          <w:rFonts w:ascii="Times New Roman" w:eastAsia="Century Gothic" w:hAnsi="Times New Roman" w:cs="Times New Roman"/>
          <w:sz w:val="24"/>
        </w:rPr>
        <w:lastRenderedPageBreak/>
        <w:t xml:space="preserve">Radicación </w:t>
      </w:r>
      <w:r w:rsidR="0090303C" w:rsidRPr="006214A2">
        <w:rPr>
          <w:rFonts w:ascii="Times New Roman" w:eastAsia="Century Gothic" w:hAnsi="Times New Roman" w:cs="Times New Roman"/>
          <w:sz w:val="24"/>
        </w:rPr>
        <w:t xml:space="preserve">N° </w:t>
      </w:r>
      <w:r w:rsidRPr="006214A2">
        <w:rPr>
          <w:rFonts w:ascii="Times New Roman" w:eastAsia="Century Gothic" w:hAnsi="Times New Roman" w:cs="Times New Roman"/>
          <w:sz w:val="24"/>
        </w:rPr>
        <w:t>1421</w:t>
      </w:r>
      <w:r w:rsidR="0090303C" w:rsidRPr="006214A2">
        <w:rPr>
          <w:rFonts w:ascii="Times New Roman" w:eastAsia="Century Gothic" w:hAnsi="Times New Roman" w:cs="Times New Roman"/>
          <w:sz w:val="24"/>
        </w:rPr>
        <w:t>.</w:t>
      </w:r>
    </w:p>
    <w:p w14:paraId="387D1F47" w14:textId="38B48546" w:rsidR="002641FF" w:rsidRPr="006214A2" w:rsidRDefault="002641FF" w:rsidP="006214A2">
      <w:pPr>
        <w:pStyle w:val="Prrafodelista"/>
        <w:widowControl w:val="0"/>
        <w:numPr>
          <w:ilvl w:val="0"/>
          <w:numId w:val="33"/>
        </w:numPr>
        <w:spacing w:line="480" w:lineRule="auto"/>
        <w:jc w:val="both"/>
        <w:rPr>
          <w:rFonts w:ascii="Times New Roman" w:eastAsia="Century Gothic" w:hAnsi="Times New Roman" w:cs="Times New Roman"/>
          <w:sz w:val="24"/>
        </w:rPr>
      </w:pPr>
      <w:r w:rsidRPr="006214A2">
        <w:rPr>
          <w:rFonts w:ascii="Times New Roman" w:eastAsia="Century Gothic" w:hAnsi="Times New Roman" w:cs="Times New Roman"/>
          <w:sz w:val="24"/>
        </w:rPr>
        <w:t>Corte Suprema de Justicia, Sala Laboral</w:t>
      </w:r>
      <w:r w:rsidR="0090303C" w:rsidRPr="006214A2">
        <w:rPr>
          <w:rFonts w:ascii="Times New Roman" w:eastAsia="Century Gothic" w:hAnsi="Times New Roman" w:cs="Times New Roman"/>
          <w:sz w:val="24"/>
        </w:rPr>
        <w:t xml:space="preserve"> </w:t>
      </w:r>
      <w:r w:rsidRPr="006214A2">
        <w:rPr>
          <w:rFonts w:ascii="Times New Roman" w:eastAsia="Century Gothic" w:hAnsi="Times New Roman" w:cs="Times New Roman"/>
          <w:sz w:val="24"/>
        </w:rPr>
        <w:t>(2019). Sentencia del 08 de mayo. Radicación</w:t>
      </w:r>
      <w:r w:rsidR="0090303C" w:rsidRPr="006214A2">
        <w:rPr>
          <w:rFonts w:ascii="Times New Roman" w:eastAsia="Century Gothic" w:hAnsi="Times New Roman" w:cs="Times New Roman"/>
          <w:sz w:val="24"/>
        </w:rPr>
        <w:t xml:space="preserve"> N°</w:t>
      </w:r>
      <w:r w:rsidRPr="006214A2">
        <w:rPr>
          <w:rFonts w:ascii="Times New Roman" w:eastAsia="Century Gothic" w:hAnsi="Times New Roman" w:cs="Times New Roman"/>
          <w:sz w:val="24"/>
        </w:rPr>
        <w:t xml:space="preserve"> 1688</w:t>
      </w:r>
      <w:r w:rsidR="0090303C" w:rsidRPr="006214A2">
        <w:rPr>
          <w:rFonts w:ascii="Times New Roman" w:eastAsia="Century Gothic" w:hAnsi="Times New Roman" w:cs="Times New Roman"/>
          <w:sz w:val="24"/>
        </w:rPr>
        <w:t>.</w:t>
      </w:r>
    </w:p>
    <w:p w14:paraId="3325B385" w14:textId="6AB7552D" w:rsidR="002641FF" w:rsidRPr="006214A2" w:rsidRDefault="002641FF" w:rsidP="006214A2">
      <w:pPr>
        <w:pStyle w:val="Prrafodelista"/>
        <w:widowControl w:val="0"/>
        <w:numPr>
          <w:ilvl w:val="0"/>
          <w:numId w:val="33"/>
        </w:numPr>
        <w:spacing w:line="480" w:lineRule="auto"/>
        <w:jc w:val="both"/>
        <w:rPr>
          <w:rFonts w:ascii="Times New Roman" w:eastAsia="Century Gothic" w:hAnsi="Times New Roman" w:cs="Times New Roman"/>
          <w:sz w:val="24"/>
        </w:rPr>
      </w:pPr>
      <w:r w:rsidRPr="006214A2">
        <w:rPr>
          <w:rFonts w:ascii="Times New Roman" w:eastAsia="Century Gothic" w:hAnsi="Times New Roman" w:cs="Times New Roman"/>
          <w:sz w:val="24"/>
        </w:rPr>
        <w:t>Corte Suprema de Justicia, Sala Laboral (2019). Radicación</w:t>
      </w:r>
      <w:r w:rsidR="006214A2" w:rsidRPr="006214A2">
        <w:rPr>
          <w:rFonts w:ascii="Times New Roman" w:eastAsia="Century Gothic" w:hAnsi="Times New Roman" w:cs="Times New Roman"/>
          <w:sz w:val="24"/>
        </w:rPr>
        <w:t xml:space="preserve"> N°</w:t>
      </w:r>
      <w:r w:rsidRPr="006214A2">
        <w:rPr>
          <w:rFonts w:ascii="Times New Roman" w:eastAsia="Century Gothic" w:hAnsi="Times New Roman" w:cs="Times New Roman"/>
          <w:sz w:val="24"/>
        </w:rPr>
        <w:t xml:space="preserve"> 361</w:t>
      </w:r>
      <w:r w:rsidR="006214A2" w:rsidRPr="006214A2">
        <w:rPr>
          <w:rFonts w:ascii="Times New Roman" w:eastAsia="Century Gothic" w:hAnsi="Times New Roman" w:cs="Times New Roman"/>
          <w:sz w:val="24"/>
        </w:rPr>
        <w:t>.</w:t>
      </w:r>
    </w:p>
    <w:p w14:paraId="0E9EC0A9" w14:textId="2B0CDC2A" w:rsidR="00413511" w:rsidRPr="006214A2" w:rsidRDefault="002641FF" w:rsidP="006214A2">
      <w:pPr>
        <w:pStyle w:val="Prrafodelista"/>
        <w:numPr>
          <w:ilvl w:val="0"/>
          <w:numId w:val="33"/>
        </w:numPr>
        <w:spacing w:line="480" w:lineRule="auto"/>
        <w:rPr>
          <w:rFonts w:ascii="Times New Roman" w:eastAsia="Century Gothic" w:hAnsi="Times New Roman" w:cs="Times New Roman"/>
          <w:sz w:val="24"/>
        </w:rPr>
      </w:pPr>
      <w:r w:rsidRPr="006214A2">
        <w:rPr>
          <w:rFonts w:ascii="Times New Roman" w:eastAsia="Century Gothic" w:hAnsi="Times New Roman" w:cs="Times New Roman"/>
          <w:sz w:val="24"/>
        </w:rPr>
        <w:t>Corte Sup</w:t>
      </w:r>
      <w:r w:rsidR="006214A2" w:rsidRPr="006214A2">
        <w:rPr>
          <w:rFonts w:ascii="Times New Roman" w:eastAsia="Century Gothic" w:hAnsi="Times New Roman" w:cs="Times New Roman"/>
          <w:sz w:val="24"/>
        </w:rPr>
        <w:t xml:space="preserve">rema de Justicia, Sala Laboral </w:t>
      </w:r>
      <w:r w:rsidRPr="006214A2">
        <w:rPr>
          <w:rFonts w:ascii="Times New Roman" w:eastAsia="Century Gothic" w:hAnsi="Times New Roman" w:cs="Times New Roman"/>
          <w:sz w:val="24"/>
        </w:rPr>
        <w:t xml:space="preserve">(2019). Sentencia del 08 de mayo. Radicación </w:t>
      </w:r>
      <w:r w:rsidR="006214A2" w:rsidRPr="006214A2">
        <w:rPr>
          <w:rFonts w:ascii="Times New Roman" w:eastAsia="Century Gothic" w:hAnsi="Times New Roman" w:cs="Times New Roman"/>
          <w:sz w:val="24"/>
        </w:rPr>
        <w:t xml:space="preserve">N° </w:t>
      </w:r>
      <w:r w:rsidRPr="006214A2">
        <w:rPr>
          <w:rFonts w:ascii="Times New Roman" w:eastAsia="Century Gothic" w:hAnsi="Times New Roman" w:cs="Times New Roman"/>
          <w:sz w:val="24"/>
        </w:rPr>
        <w:t>1689</w:t>
      </w:r>
      <w:r w:rsidR="006214A2" w:rsidRPr="006214A2">
        <w:rPr>
          <w:rFonts w:ascii="Times New Roman" w:eastAsia="Century Gothic" w:hAnsi="Times New Roman" w:cs="Times New Roman"/>
          <w:sz w:val="24"/>
        </w:rPr>
        <w:t>.</w:t>
      </w:r>
    </w:p>
    <w:p w14:paraId="7F5CFDC5" w14:textId="1584E64F" w:rsidR="00413511" w:rsidRPr="003F630C" w:rsidRDefault="00413511" w:rsidP="006214A2">
      <w:pPr>
        <w:widowControl w:val="0"/>
        <w:spacing w:line="480" w:lineRule="auto"/>
        <w:ind w:firstLine="709"/>
        <w:jc w:val="both"/>
        <w:rPr>
          <w:rFonts w:eastAsia="Century Gothic"/>
        </w:rPr>
      </w:pPr>
      <w:r w:rsidRPr="003F630C">
        <w:rPr>
          <w:rFonts w:eastAsia="Century Gothic"/>
        </w:rPr>
        <w:t xml:space="preserve">  Tenien</w:t>
      </w:r>
      <w:r w:rsidR="009D525D">
        <w:rPr>
          <w:rFonts w:eastAsia="Century Gothic"/>
        </w:rPr>
        <w:t>do en cuenta las sentencias relativas</w:t>
      </w:r>
      <w:r w:rsidRPr="003F630C">
        <w:rPr>
          <w:rFonts w:eastAsia="Century Gothic"/>
        </w:rPr>
        <w:t xml:space="preserve"> al tema de la ineficacia de la afiliación como consecuencia de la omisión al deber de información por parte de las AFP</w:t>
      </w:r>
      <w:r w:rsidR="006214A2">
        <w:rPr>
          <w:rFonts w:eastAsia="Century Gothic"/>
        </w:rPr>
        <w:t xml:space="preserve">, surge el interrogante de </w:t>
      </w:r>
      <w:r w:rsidRPr="003F630C">
        <w:rPr>
          <w:rFonts w:eastAsia="Century Gothic"/>
        </w:rPr>
        <w:t>¿</w:t>
      </w:r>
      <w:r w:rsidR="006214A2">
        <w:rPr>
          <w:rFonts w:eastAsia="Century Gothic"/>
        </w:rPr>
        <w:t xml:space="preserve">si </w:t>
      </w:r>
      <w:r w:rsidRPr="003F630C">
        <w:rPr>
          <w:rFonts w:eastAsia="Century Gothic"/>
        </w:rPr>
        <w:t>existe un precedente y una línea jurisprudencial en la forma en la que toma sus decisiones frente al tema objeto de estudio?</w:t>
      </w:r>
    </w:p>
    <w:p w14:paraId="310CC56C" w14:textId="0F77A066" w:rsidR="00413511" w:rsidRPr="003F630C" w:rsidRDefault="00413511" w:rsidP="006214A2">
      <w:pPr>
        <w:widowControl w:val="0"/>
        <w:spacing w:line="480" w:lineRule="auto"/>
        <w:ind w:firstLine="709"/>
        <w:jc w:val="both"/>
        <w:rPr>
          <w:rFonts w:eastAsia="Century Gothic"/>
        </w:rPr>
      </w:pPr>
      <w:r w:rsidRPr="003F630C">
        <w:rPr>
          <w:rFonts w:eastAsia="Century Gothic"/>
        </w:rPr>
        <w:t xml:space="preserve">  Para responder el interrogante anterior, se realizara el estudio y la realización de cuadros de las sentencias SL 31989 del 9 de septiembre del 2008, SL 31314 del 9 de septiembre del 2008, SL 33083 del 22 de noviembre del 2011, SL 1452 del 3 de abril del 2019 y la SL 1688 del 22 del 8 de mayo del 2019. </w:t>
      </w:r>
    </w:p>
    <w:p w14:paraId="51FE9CFF" w14:textId="268431CD" w:rsidR="00413511" w:rsidRPr="003F630C" w:rsidRDefault="00413511" w:rsidP="006214A2">
      <w:pPr>
        <w:spacing w:line="480" w:lineRule="auto"/>
        <w:ind w:firstLine="709"/>
        <w:rPr>
          <w:rFonts w:eastAsia="Century Gothic"/>
        </w:rPr>
      </w:pPr>
      <w:r w:rsidRPr="003F630C">
        <w:rPr>
          <w:rFonts w:eastAsia="Century Gothic"/>
        </w:rPr>
        <w:t xml:space="preserve">  No obstante, a pesar de que la jurisprudencia ha optado por la solución de la declaratoria de la ineficacia de la afiliación, con el fin de dejar sin efectos el acto jurídico y volver al estado anterior, se han generado varios asuntos problemáticos como los siguientes:</w:t>
      </w:r>
    </w:p>
    <w:p w14:paraId="2FD9B788" w14:textId="66E5DEA1" w:rsidR="00413511" w:rsidRPr="006214A2" w:rsidRDefault="00413511" w:rsidP="006214A2">
      <w:pPr>
        <w:pStyle w:val="Prrafodelista"/>
        <w:widowControl w:val="0"/>
        <w:numPr>
          <w:ilvl w:val="0"/>
          <w:numId w:val="34"/>
        </w:numPr>
        <w:spacing w:line="480" w:lineRule="auto"/>
        <w:jc w:val="both"/>
        <w:textDirection w:val="btLr"/>
        <w:rPr>
          <w:rFonts w:ascii="Times New Roman" w:eastAsia="Century Gothic" w:hAnsi="Times New Roman" w:cs="Times New Roman"/>
          <w:sz w:val="24"/>
        </w:rPr>
      </w:pPr>
      <w:r w:rsidRPr="006214A2">
        <w:rPr>
          <w:rFonts w:ascii="Times New Roman" w:eastAsia="Century Gothic" w:hAnsi="Times New Roman" w:cs="Times New Roman"/>
          <w:sz w:val="24"/>
        </w:rPr>
        <w:t xml:space="preserve">Existe un vacío </w:t>
      </w:r>
      <w:r w:rsidR="009D525D">
        <w:rPr>
          <w:rFonts w:ascii="Times New Roman" w:eastAsia="Century Gothic" w:hAnsi="Times New Roman" w:cs="Times New Roman"/>
          <w:sz w:val="24"/>
        </w:rPr>
        <w:t>legislativo</w:t>
      </w:r>
      <w:r w:rsidRPr="006214A2">
        <w:rPr>
          <w:rFonts w:ascii="Times New Roman" w:eastAsia="Century Gothic" w:hAnsi="Times New Roman" w:cs="Times New Roman"/>
          <w:sz w:val="24"/>
        </w:rPr>
        <w:t xml:space="preserve"> frente al tema, pues solo ha sido un debate </w:t>
      </w:r>
      <w:r w:rsidR="009D525D">
        <w:rPr>
          <w:rFonts w:ascii="Times New Roman" w:eastAsia="Century Gothic" w:hAnsi="Times New Roman" w:cs="Times New Roman"/>
          <w:sz w:val="24"/>
        </w:rPr>
        <w:t>jurisprudencial.</w:t>
      </w:r>
    </w:p>
    <w:p w14:paraId="4E62AE87" w14:textId="480C65A3" w:rsidR="00413511" w:rsidRPr="006214A2" w:rsidRDefault="00413511" w:rsidP="006214A2">
      <w:pPr>
        <w:pStyle w:val="Prrafodelista"/>
        <w:widowControl w:val="0"/>
        <w:numPr>
          <w:ilvl w:val="0"/>
          <w:numId w:val="34"/>
        </w:numPr>
        <w:spacing w:line="480" w:lineRule="auto"/>
        <w:jc w:val="both"/>
        <w:textDirection w:val="btLr"/>
        <w:rPr>
          <w:rFonts w:ascii="Times New Roman" w:eastAsia="Century Gothic" w:hAnsi="Times New Roman" w:cs="Times New Roman"/>
          <w:sz w:val="24"/>
        </w:rPr>
      </w:pPr>
      <w:r w:rsidRPr="006214A2">
        <w:rPr>
          <w:rFonts w:ascii="Times New Roman" w:eastAsia="Century Gothic" w:hAnsi="Times New Roman" w:cs="Times New Roman"/>
          <w:sz w:val="24"/>
        </w:rPr>
        <w:t xml:space="preserve">Existen casos en que como consecuencia de la omisión al deber de información, es decir, del engaño, se haya generado un daño y perjuicio </w:t>
      </w:r>
      <w:r w:rsidR="00A6658C" w:rsidRPr="006214A2">
        <w:rPr>
          <w:rFonts w:ascii="Times New Roman" w:eastAsia="Century Gothic" w:hAnsi="Times New Roman" w:cs="Times New Roman"/>
          <w:sz w:val="24"/>
        </w:rPr>
        <w:t>extra</w:t>
      </w:r>
      <w:r w:rsidRPr="006214A2">
        <w:rPr>
          <w:rFonts w:ascii="Times New Roman" w:eastAsia="Century Gothic" w:hAnsi="Times New Roman" w:cs="Times New Roman"/>
          <w:sz w:val="24"/>
        </w:rPr>
        <w:t xml:space="preserve">patrimonial al </w:t>
      </w:r>
      <w:r w:rsidR="00FF08DA">
        <w:rPr>
          <w:rFonts w:ascii="Times New Roman" w:eastAsia="Century Gothic" w:hAnsi="Times New Roman" w:cs="Times New Roman"/>
          <w:sz w:val="24"/>
        </w:rPr>
        <w:t>afiliado</w:t>
      </w:r>
      <w:r w:rsidRPr="006214A2">
        <w:rPr>
          <w:rFonts w:ascii="Times New Roman" w:eastAsia="Century Gothic" w:hAnsi="Times New Roman" w:cs="Times New Roman"/>
          <w:sz w:val="24"/>
        </w:rPr>
        <w:t>.</w:t>
      </w:r>
    </w:p>
    <w:p w14:paraId="3ACE4DE1" w14:textId="4BD76699" w:rsidR="00413511" w:rsidRPr="006214A2" w:rsidRDefault="00413511" w:rsidP="006214A2">
      <w:pPr>
        <w:pStyle w:val="Prrafodelista"/>
        <w:widowControl w:val="0"/>
        <w:numPr>
          <w:ilvl w:val="0"/>
          <w:numId w:val="34"/>
        </w:numPr>
        <w:spacing w:line="480" w:lineRule="auto"/>
        <w:jc w:val="both"/>
        <w:textDirection w:val="btLr"/>
        <w:rPr>
          <w:rFonts w:ascii="Times New Roman" w:eastAsia="Century Gothic" w:hAnsi="Times New Roman" w:cs="Times New Roman"/>
          <w:sz w:val="24"/>
        </w:rPr>
      </w:pPr>
      <w:r w:rsidRPr="006214A2">
        <w:rPr>
          <w:rFonts w:ascii="Times New Roman" w:eastAsia="Century Gothic" w:hAnsi="Times New Roman" w:cs="Times New Roman"/>
          <w:sz w:val="24"/>
        </w:rPr>
        <w:lastRenderedPageBreak/>
        <w:t xml:space="preserve">A diferencia de la ineficacia de la afiliación, no existe un precedente o una línea jurisprudencial acerca de la procedencia de la  indemnización de perjuicios </w:t>
      </w:r>
      <w:r w:rsidR="00FE6361" w:rsidRPr="006214A2">
        <w:rPr>
          <w:rFonts w:ascii="Times New Roman" w:eastAsia="Century Gothic" w:hAnsi="Times New Roman" w:cs="Times New Roman"/>
          <w:sz w:val="24"/>
        </w:rPr>
        <w:t>extra</w:t>
      </w:r>
      <w:r w:rsidRPr="006214A2">
        <w:rPr>
          <w:rFonts w:ascii="Times New Roman" w:eastAsia="Century Gothic" w:hAnsi="Times New Roman" w:cs="Times New Roman"/>
          <w:sz w:val="24"/>
        </w:rPr>
        <w:t>patrimoniales, en los casos en que la AFP como consecuencia de la omisión al deber de información haya generado un daño. Además</w:t>
      </w:r>
      <w:r w:rsidR="00CA56CA">
        <w:rPr>
          <w:rFonts w:ascii="Times New Roman" w:eastAsia="Century Gothic" w:hAnsi="Times New Roman" w:cs="Times New Roman"/>
          <w:sz w:val="24"/>
        </w:rPr>
        <w:t>,</w:t>
      </w:r>
      <w:r w:rsidRPr="006214A2">
        <w:rPr>
          <w:rFonts w:ascii="Times New Roman" w:eastAsia="Century Gothic" w:hAnsi="Times New Roman" w:cs="Times New Roman"/>
          <w:sz w:val="24"/>
        </w:rPr>
        <w:t xml:space="preserve"> también hay </w:t>
      </w:r>
      <w:r w:rsidR="009D525D">
        <w:rPr>
          <w:rFonts w:ascii="Times New Roman" w:eastAsia="Century Gothic" w:hAnsi="Times New Roman" w:cs="Times New Roman"/>
          <w:sz w:val="24"/>
        </w:rPr>
        <w:t xml:space="preserve">un </w:t>
      </w:r>
      <w:r w:rsidRPr="006214A2">
        <w:rPr>
          <w:rFonts w:ascii="Times New Roman" w:eastAsia="Century Gothic" w:hAnsi="Times New Roman" w:cs="Times New Roman"/>
          <w:sz w:val="24"/>
        </w:rPr>
        <w:t xml:space="preserve">vacío normativo. </w:t>
      </w:r>
    </w:p>
    <w:p w14:paraId="01321DBA" w14:textId="1FAC9E1A" w:rsidR="008449D6" w:rsidRPr="00BF1BB3" w:rsidRDefault="00413511" w:rsidP="00BF1BB3">
      <w:pPr>
        <w:pStyle w:val="Prrafodelista"/>
        <w:widowControl w:val="0"/>
        <w:numPr>
          <w:ilvl w:val="0"/>
          <w:numId w:val="34"/>
        </w:numPr>
        <w:spacing w:line="480" w:lineRule="auto"/>
        <w:jc w:val="both"/>
        <w:textDirection w:val="btLr"/>
        <w:rPr>
          <w:rFonts w:ascii="Times New Roman" w:eastAsia="Century Gothic" w:hAnsi="Times New Roman" w:cs="Times New Roman"/>
          <w:sz w:val="24"/>
        </w:rPr>
      </w:pPr>
      <w:r w:rsidRPr="006214A2">
        <w:rPr>
          <w:rFonts w:ascii="Times New Roman" w:eastAsia="Century Gothic" w:hAnsi="Times New Roman" w:cs="Times New Roman"/>
          <w:sz w:val="24"/>
        </w:rPr>
        <w:t xml:space="preserve">Surge la duda, de si </w:t>
      </w:r>
      <w:r w:rsidR="009D525D">
        <w:rPr>
          <w:rFonts w:ascii="Times New Roman" w:eastAsia="Century Gothic" w:hAnsi="Times New Roman" w:cs="Times New Roman"/>
          <w:sz w:val="24"/>
        </w:rPr>
        <w:t>procedería</w:t>
      </w:r>
      <w:r w:rsidRPr="006214A2">
        <w:rPr>
          <w:rFonts w:ascii="Times New Roman" w:eastAsia="Century Gothic" w:hAnsi="Times New Roman" w:cs="Times New Roman"/>
          <w:sz w:val="24"/>
        </w:rPr>
        <w:t xml:space="preserve"> la responsabilidad estatal en los casos en que la Superintendencia </w:t>
      </w:r>
      <w:r w:rsidR="00CA56CA">
        <w:rPr>
          <w:rFonts w:ascii="Times New Roman" w:eastAsia="Century Gothic" w:hAnsi="Times New Roman" w:cs="Times New Roman"/>
          <w:sz w:val="24"/>
        </w:rPr>
        <w:t>F</w:t>
      </w:r>
      <w:r w:rsidR="007F5A29" w:rsidRPr="006214A2">
        <w:rPr>
          <w:rFonts w:ascii="Times New Roman" w:eastAsia="Century Gothic" w:hAnsi="Times New Roman" w:cs="Times New Roman"/>
          <w:sz w:val="24"/>
        </w:rPr>
        <w:t xml:space="preserve">inanciera haya omitido </w:t>
      </w:r>
      <w:r w:rsidR="009D525D">
        <w:rPr>
          <w:rFonts w:ascii="Times New Roman" w:eastAsia="Century Gothic" w:hAnsi="Times New Roman" w:cs="Times New Roman"/>
          <w:sz w:val="24"/>
        </w:rPr>
        <w:t xml:space="preserve">o presentado retardo en </w:t>
      </w:r>
      <w:r w:rsidR="007F5A29" w:rsidRPr="006214A2">
        <w:rPr>
          <w:rFonts w:ascii="Times New Roman" w:eastAsia="Century Gothic" w:hAnsi="Times New Roman" w:cs="Times New Roman"/>
          <w:sz w:val="24"/>
        </w:rPr>
        <w:t xml:space="preserve">la función </w:t>
      </w:r>
      <w:r w:rsidRPr="006214A2">
        <w:rPr>
          <w:rFonts w:ascii="Times New Roman" w:eastAsia="Century Gothic" w:hAnsi="Times New Roman" w:cs="Times New Roman"/>
          <w:sz w:val="24"/>
        </w:rPr>
        <w:t xml:space="preserve">de inspección, vigilancia y control que tiene frente a las AFP como entidades financieras. </w:t>
      </w:r>
    </w:p>
    <w:p w14:paraId="55C16EDE" w14:textId="5FD0299F" w:rsidR="00413511" w:rsidRPr="003F630C" w:rsidRDefault="00413511" w:rsidP="008449D6">
      <w:pPr>
        <w:pBdr>
          <w:top w:val="nil"/>
          <w:left w:val="nil"/>
          <w:bottom w:val="nil"/>
          <w:right w:val="nil"/>
          <w:between w:val="nil"/>
        </w:pBdr>
        <w:spacing w:line="480" w:lineRule="auto"/>
        <w:ind w:hanging="2"/>
        <w:jc w:val="both"/>
        <w:rPr>
          <w:rFonts w:eastAsia="Century Gothic"/>
          <w:color w:val="000000"/>
        </w:rPr>
      </w:pPr>
      <w:bookmarkStart w:id="6" w:name="Objetivos"/>
      <w:r w:rsidRPr="006214A2">
        <w:rPr>
          <w:rFonts w:eastAsia="Century Gothic"/>
          <w:b/>
          <w:color w:val="000000"/>
        </w:rPr>
        <w:t>Objetivos</w:t>
      </w:r>
      <w:r>
        <w:rPr>
          <w:rFonts w:eastAsia="Century Gothic"/>
          <w:b/>
          <w:color w:val="000000"/>
        </w:rPr>
        <w:t xml:space="preserve"> </w:t>
      </w:r>
    </w:p>
    <w:bookmarkEnd w:id="6"/>
    <w:p w14:paraId="4BAC0BB3" w14:textId="272FC217" w:rsidR="006214A2" w:rsidRPr="006214A2" w:rsidRDefault="00413511" w:rsidP="008449D6">
      <w:pPr>
        <w:pBdr>
          <w:top w:val="nil"/>
          <w:left w:val="nil"/>
          <w:bottom w:val="nil"/>
          <w:right w:val="nil"/>
          <w:between w:val="nil"/>
        </w:pBdr>
        <w:spacing w:line="480" w:lineRule="auto"/>
        <w:ind w:firstLine="709"/>
        <w:jc w:val="both"/>
        <w:rPr>
          <w:rFonts w:eastAsia="Century Gothic"/>
          <w:color w:val="000000"/>
        </w:rPr>
      </w:pPr>
      <w:r w:rsidRPr="003F630C">
        <w:rPr>
          <w:rFonts w:eastAsia="Century Gothic"/>
          <w:b/>
          <w:color w:val="000000"/>
        </w:rPr>
        <w:t>Objetivo general</w:t>
      </w:r>
      <w:r w:rsidR="006214A2">
        <w:rPr>
          <w:rFonts w:eastAsia="Century Gothic"/>
          <w:b/>
          <w:color w:val="000000"/>
        </w:rPr>
        <w:t xml:space="preserve">. </w:t>
      </w:r>
      <w:r w:rsidR="006214A2">
        <w:rPr>
          <w:rFonts w:eastAsia="Century Gothic"/>
          <w:color w:val="000000"/>
        </w:rPr>
        <w:t>El objetivo general del presente estudio puede dividirse en dos puntos, así:</w:t>
      </w:r>
    </w:p>
    <w:p w14:paraId="08C2ED14" w14:textId="6A8239F0" w:rsidR="00413511" w:rsidRPr="006214A2" w:rsidRDefault="00413511" w:rsidP="006214A2">
      <w:pPr>
        <w:pStyle w:val="Prrafodelista"/>
        <w:widowControl w:val="0"/>
        <w:numPr>
          <w:ilvl w:val="0"/>
          <w:numId w:val="35"/>
        </w:numPr>
        <w:spacing w:line="480" w:lineRule="auto"/>
        <w:jc w:val="both"/>
        <w:rPr>
          <w:rFonts w:ascii="Times New Roman" w:eastAsia="Century Gothic" w:hAnsi="Times New Roman" w:cs="Times New Roman"/>
          <w:sz w:val="24"/>
        </w:rPr>
      </w:pPr>
      <w:r w:rsidRPr="006214A2">
        <w:rPr>
          <w:rFonts w:ascii="Times New Roman" w:eastAsia="Century Gothic" w:hAnsi="Times New Roman" w:cs="Times New Roman"/>
          <w:sz w:val="24"/>
        </w:rPr>
        <w:t>Analizar la jurisprudencia de la Corte Su</w:t>
      </w:r>
      <w:r w:rsidR="005B1849">
        <w:rPr>
          <w:rFonts w:ascii="Times New Roman" w:eastAsia="Century Gothic" w:hAnsi="Times New Roman" w:cs="Times New Roman"/>
          <w:sz w:val="24"/>
        </w:rPr>
        <w:t xml:space="preserve">prema de </w:t>
      </w:r>
      <w:r w:rsidR="00CA56CA">
        <w:rPr>
          <w:rFonts w:ascii="Times New Roman" w:eastAsia="Century Gothic" w:hAnsi="Times New Roman" w:cs="Times New Roman"/>
          <w:sz w:val="24"/>
        </w:rPr>
        <w:t>J</w:t>
      </w:r>
      <w:r w:rsidR="005B1849">
        <w:rPr>
          <w:rFonts w:ascii="Times New Roman" w:eastAsia="Century Gothic" w:hAnsi="Times New Roman" w:cs="Times New Roman"/>
          <w:sz w:val="24"/>
        </w:rPr>
        <w:t>usticia en sentencias</w:t>
      </w:r>
      <w:r w:rsidRPr="006214A2">
        <w:rPr>
          <w:rFonts w:ascii="Times New Roman" w:eastAsia="Century Gothic" w:hAnsi="Times New Roman" w:cs="Times New Roman"/>
          <w:sz w:val="24"/>
        </w:rPr>
        <w:t xml:space="preserve"> SL 31989 del 9 de septiembre del 2008, SL 31314 del 9 de septiembre del 2008, SL 33083 del 22 de noviembre del 2011, SL 1452 del 3 de abril del 2019 y la SL 1688 del 22 del 8 de mayo del 2019 con el fin de determinar si existe una línea jurisprudencial y una doctrina probable frente a la procedencia de la ineficacia de la afiliación como consecuencia de una omisión del deber de información por parte de la AFP. </w:t>
      </w:r>
    </w:p>
    <w:p w14:paraId="3EF73AF3" w14:textId="31C32570" w:rsidR="00413511" w:rsidRPr="006214A2" w:rsidRDefault="00413511" w:rsidP="006214A2">
      <w:pPr>
        <w:pStyle w:val="Prrafodelista"/>
        <w:widowControl w:val="0"/>
        <w:numPr>
          <w:ilvl w:val="0"/>
          <w:numId w:val="35"/>
        </w:numPr>
        <w:spacing w:line="480" w:lineRule="auto"/>
        <w:jc w:val="both"/>
        <w:textDirection w:val="btLr"/>
        <w:rPr>
          <w:rFonts w:ascii="Times New Roman" w:eastAsia="Century Gothic" w:hAnsi="Times New Roman" w:cs="Times New Roman"/>
          <w:sz w:val="24"/>
        </w:rPr>
      </w:pPr>
      <w:r w:rsidRPr="006214A2">
        <w:rPr>
          <w:rFonts w:ascii="Times New Roman" w:eastAsia="Century Gothic" w:hAnsi="Times New Roman" w:cs="Times New Roman"/>
          <w:sz w:val="24"/>
        </w:rPr>
        <w:t xml:space="preserve">Determinar la viabilidad de la responsabilidad civil y la responsabilidad estatal como mecanismos procedentes para reparar y prevenir daños </w:t>
      </w:r>
      <w:r w:rsidR="00A87BBB" w:rsidRPr="006214A2">
        <w:rPr>
          <w:rFonts w:ascii="Times New Roman" w:eastAsia="Century Gothic" w:hAnsi="Times New Roman" w:cs="Times New Roman"/>
          <w:sz w:val="24"/>
        </w:rPr>
        <w:t>extra</w:t>
      </w:r>
      <w:r w:rsidRPr="006214A2">
        <w:rPr>
          <w:rFonts w:ascii="Times New Roman" w:eastAsia="Century Gothic" w:hAnsi="Times New Roman" w:cs="Times New Roman"/>
          <w:sz w:val="24"/>
        </w:rPr>
        <w:t>patrimoniales por parte de las AFP del RAI</w:t>
      </w:r>
      <w:r w:rsidR="005B1849">
        <w:rPr>
          <w:rFonts w:ascii="Times New Roman" w:eastAsia="Century Gothic" w:hAnsi="Times New Roman" w:cs="Times New Roman"/>
          <w:sz w:val="24"/>
        </w:rPr>
        <w:t>S y de la Superintendencia F</w:t>
      </w:r>
      <w:r w:rsidRPr="006214A2">
        <w:rPr>
          <w:rFonts w:ascii="Times New Roman" w:eastAsia="Century Gothic" w:hAnsi="Times New Roman" w:cs="Times New Roman"/>
          <w:sz w:val="24"/>
        </w:rPr>
        <w:t xml:space="preserve">inanciera </w:t>
      </w:r>
      <w:r w:rsidR="005B1849">
        <w:rPr>
          <w:rFonts w:ascii="Times New Roman" w:eastAsia="Century Gothic" w:hAnsi="Times New Roman" w:cs="Times New Roman"/>
          <w:sz w:val="24"/>
        </w:rPr>
        <w:t xml:space="preserve">a un afiliado </w:t>
      </w:r>
      <w:r w:rsidRPr="006214A2">
        <w:rPr>
          <w:rFonts w:ascii="Times New Roman" w:eastAsia="Century Gothic" w:hAnsi="Times New Roman" w:cs="Times New Roman"/>
          <w:sz w:val="24"/>
        </w:rPr>
        <w:t xml:space="preserve">al momento del acto jurídico de afiliación o traslado. </w:t>
      </w:r>
    </w:p>
    <w:p w14:paraId="5F59E032" w14:textId="698F44C7" w:rsidR="00413511" w:rsidRPr="006214A2" w:rsidRDefault="006214A2" w:rsidP="00667C78">
      <w:pPr>
        <w:pBdr>
          <w:top w:val="nil"/>
          <w:left w:val="nil"/>
          <w:bottom w:val="nil"/>
          <w:right w:val="nil"/>
          <w:between w:val="nil"/>
        </w:pBdr>
        <w:spacing w:line="480" w:lineRule="auto"/>
        <w:ind w:firstLine="709"/>
        <w:jc w:val="both"/>
        <w:rPr>
          <w:rFonts w:eastAsia="Century Gothic"/>
          <w:color w:val="000000"/>
        </w:rPr>
      </w:pPr>
      <w:r>
        <w:rPr>
          <w:rFonts w:eastAsia="Century Gothic"/>
          <w:b/>
          <w:color w:val="000000"/>
        </w:rPr>
        <w:lastRenderedPageBreak/>
        <w:t xml:space="preserve">  Objetivos específicos. </w:t>
      </w:r>
      <w:r>
        <w:rPr>
          <w:rFonts w:eastAsia="Century Gothic"/>
          <w:color w:val="000000"/>
        </w:rPr>
        <w:t>Por su parte, los objetivos del presente trabajo son los siguientes:</w:t>
      </w:r>
    </w:p>
    <w:p w14:paraId="15FAD215" w14:textId="77777777" w:rsidR="00413511" w:rsidRPr="006214A2" w:rsidRDefault="00413511" w:rsidP="006214A2">
      <w:pPr>
        <w:pStyle w:val="Prrafodelista"/>
        <w:widowControl w:val="0"/>
        <w:numPr>
          <w:ilvl w:val="0"/>
          <w:numId w:val="36"/>
        </w:numPr>
        <w:spacing w:line="480" w:lineRule="auto"/>
        <w:jc w:val="both"/>
        <w:textDirection w:val="btLr"/>
        <w:rPr>
          <w:rFonts w:ascii="Times New Roman" w:eastAsia="Century Gothic" w:hAnsi="Times New Roman" w:cs="Times New Roman"/>
          <w:sz w:val="24"/>
        </w:rPr>
      </w:pPr>
      <w:r w:rsidRPr="006214A2">
        <w:rPr>
          <w:rFonts w:ascii="Times New Roman" w:eastAsia="Century Gothic" w:hAnsi="Times New Roman" w:cs="Times New Roman"/>
          <w:sz w:val="24"/>
        </w:rPr>
        <w:t xml:space="preserve">Realizar cuadros conceptuales en donde se identifiquen las partes procesales inmersas en las sentencias, la situación fáctica, el problema jurídico, la decisión judicial tomada en cada una se las sentencias  objeto de estudio para comprender la resolución del problema jurídico. </w:t>
      </w:r>
    </w:p>
    <w:p w14:paraId="525A2307" w14:textId="3C3A06CA" w:rsidR="00413511" w:rsidRPr="006214A2" w:rsidRDefault="00413511" w:rsidP="006214A2">
      <w:pPr>
        <w:pStyle w:val="Prrafodelista"/>
        <w:widowControl w:val="0"/>
        <w:numPr>
          <w:ilvl w:val="0"/>
          <w:numId w:val="36"/>
        </w:numPr>
        <w:spacing w:line="480" w:lineRule="auto"/>
        <w:jc w:val="both"/>
        <w:textDirection w:val="btLr"/>
        <w:rPr>
          <w:rFonts w:ascii="Times New Roman" w:eastAsia="Century Gothic" w:hAnsi="Times New Roman" w:cs="Times New Roman"/>
          <w:sz w:val="24"/>
        </w:rPr>
      </w:pPr>
      <w:r w:rsidRPr="006214A2">
        <w:rPr>
          <w:rFonts w:ascii="Times New Roman" w:eastAsia="Century Gothic" w:hAnsi="Times New Roman" w:cs="Times New Roman"/>
          <w:sz w:val="24"/>
        </w:rPr>
        <w:t>Identificar la Línea y precedente jurisprudencial de la Corte Suprema de Justicia frente al proceso de Ineficacia de la Afiliación en torno a la omisión al deber de información por parte de las AFP.</w:t>
      </w:r>
    </w:p>
    <w:p w14:paraId="66FEB49C" w14:textId="7AAB123A" w:rsidR="00413511" w:rsidRPr="006214A2" w:rsidRDefault="00413511" w:rsidP="006214A2">
      <w:pPr>
        <w:pStyle w:val="Prrafodelista"/>
        <w:widowControl w:val="0"/>
        <w:numPr>
          <w:ilvl w:val="0"/>
          <w:numId w:val="36"/>
        </w:numPr>
        <w:spacing w:line="480" w:lineRule="auto"/>
        <w:jc w:val="both"/>
        <w:textDirection w:val="btLr"/>
        <w:rPr>
          <w:rFonts w:ascii="Times New Roman" w:eastAsia="Century Gothic" w:hAnsi="Times New Roman" w:cs="Times New Roman"/>
          <w:sz w:val="24"/>
        </w:rPr>
      </w:pPr>
      <w:r w:rsidRPr="006214A2">
        <w:rPr>
          <w:rFonts w:ascii="Times New Roman" w:eastAsia="Century Gothic" w:hAnsi="Times New Roman" w:cs="Times New Roman"/>
          <w:sz w:val="24"/>
        </w:rPr>
        <w:t>Analizar</w:t>
      </w:r>
      <w:r w:rsidR="008449D6">
        <w:rPr>
          <w:rFonts w:ascii="Times New Roman" w:eastAsia="Century Gothic" w:hAnsi="Times New Roman" w:cs="Times New Roman"/>
          <w:sz w:val="24"/>
        </w:rPr>
        <w:t xml:space="preserve"> los siguientes temas</w:t>
      </w:r>
      <w:r w:rsidRPr="006214A2">
        <w:rPr>
          <w:rFonts w:ascii="Times New Roman" w:eastAsia="Century Gothic" w:hAnsi="Times New Roman" w:cs="Times New Roman"/>
          <w:sz w:val="24"/>
        </w:rPr>
        <w:t xml:space="preserve">: </w:t>
      </w:r>
    </w:p>
    <w:p w14:paraId="5463A22E" w14:textId="1C2C48D5" w:rsidR="00413511" w:rsidRPr="008449D6" w:rsidRDefault="00413511" w:rsidP="005B1849">
      <w:pPr>
        <w:pStyle w:val="Prrafodelista"/>
        <w:widowControl w:val="0"/>
        <w:numPr>
          <w:ilvl w:val="1"/>
          <w:numId w:val="36"/>
        </w:numPr>
        <w:spacing w:line="480" w:lineRule="auto"/>
        <w:ind w:left="709"/>
        <w:jc w:val="both"/>
        <w:textDirection w:val="btLr"/>
        <w:rPr>
          <w:rFonts w:ascii="Times New Roman" w:eastAsia="Century Gothic" w:hAnsi="Times New Roman" w:cs="Times New Roman"/>
          <w:sz w:val="24"/>
        </w:rPr>
      </w:pPr>
      <w:r w:rsidRPr="008449D6">
        <w:rPr>
          <w:rFonts w:ascii="Times New Roman" w:eastAsia="Century Gothic" w:hAnsi="Times New Roman" w:cs="Times New Roman"/>
          <w:sz w:val="24"/>
        </w:rPr>
        <w:t xml:space="preserve">La regulación normativa en el </w:t>
      </w:r>
      <w:r w:rsidR="00FF08DA">
        <w:rPr>
          <w:rFonts w:ascii="Times New Roman" w:eastAsia="Century Gothic" w:hAnsi="Times New Roman" w:cs="Times New Roman"/>
          <w:sz w:val="24"/>
        </w:rPr>
        <w:t>Estatuto del C</w:t>
      </w:r>
      <w:r w:rsidRPr="008449D6">
        <w:rPr>
          <w:rFonts w:ascii="Times New Roman" w:eastAsia="Century Gothic" w:hAnsi="Times New Roman" w:cs="Times New Roman"/>
          <w:sz w:val="24"/>
        </w:rPr>
        <w:t xml:space="preserve">onsumidor </w:t>
      </w:r>
      <w:r w:rsidR="00FF08DA">
        <w:rPr>
          <w:rFonts w:ascii="Times New Roman" w:eastAsia="Century Gothic" w:hAnsi="Times New Roman" w:cs="Times New Roman"/>
          <w:sz w:val="24"/>
        </w:rPr>
        <w:t>F</w:t>
      </w:r>
      <w:r w:rsidRPr="008449D6">
        <w:rPr>
          <w:rFonts w:ascii="Times New Roman" w:eastAsia="Century Gothic" w:hAnsi="Times New Roman" w:cs="Times New Roman"/>
          <w:sz w:val="24"/>
        </w:rPr>
        <w:t xml:space="preserve">inanciero acerca del deber de información y de la función de inspección, vigilancia y control. </w:t>
      </w:r>
    </w:p>
    <w:p w14:paraId="0D51B2EE" w14:textId="68E37DF1" w:rsidR="00413511" w:rsidRPr="008449D6" w:rsidRDefault="00413511" w:rsidP="005B1849">
      <w:pPr>
        <w:pStyle w:val="Prrafodelista"/>
        <w:widowControl w:val="0"/>
        <w:numPr>
          <w:ilvl w:val="1"/>
          <w:numId w:val="36"/>
        </w:numPr>
        <w:spacing w:line="480" w:lineRule="auto"/>
        <w:ind w:left="709"/>
        <w:jc w:val="both"/>
        <w:textDirection w:val="btLr"/>
        <w:rPr>
          <w:rFonts w:ascii="Times New Roman" w:eastAsia="Century Gothic" w:hAnsi="Times New Roman" w:cs="Times New Roman"/>
          <w:sz w:val="24"/>
        </w:rPr>
      </w:pPr>
      <w:r w:rsidRPr="008449D6">
        <w:rPr>
          <w:rFonts w:ascii="Times New Roman" w:eastAsia="Century Gothic" w:hAnsi="Times New Roman" w:cs="Times New Roman"/>
          <w:sz w:val="24"/>
        </w:rPr>
        <w:t>La normatividad que regula la responsabilidad de los promotores de las AFP en el decreto 720 de 1994</w:t>
      </w:r>
      <w:r w:rsidR="004A3477" w:rsidRPr="008449D6">
        <w:rPr>
          <w:rFonts w:ascii="Times New Roman" w:eastAsia="Century Gothic" w:hAnsi="Times New Roman" w:cs="Times New Roman"/>
          <w:sz w:val="24"/>
        </w:rPr>
        <w:t xml:space="preserve"> y en el decreto 656 de 1994</w:t>
      </w:r>
      <w:r w:rsidRPr="008449D6">
        <w:rPr>
          <w:rFonts w:ascii="Times New Roman" w:eastAsia="Century Gothic" w:hAnsi="Times New Roman" w:cs="Times New Roman"/>
          <w:sz w:val="24"/>
        </w:rPr>
        <w:t xml:space="preserve">. </w:t>
      </w:r>
    </w:p>
    <w:p w14:paraId="1249FD60" w14:textId="317BB3EB" w:rsidR="00413511" w:rsidRPr="008449D6" w:rsidRDefault="00413511" w:rsidP="005B1849">
      <w:pPr>
        <w:pStyle w:val="Prrafodelista"/>
        <w:widowControl w:val="0"/>
        <w:numPr>
          <w:ilvl w:val="1"/>
          <w:numId w:val="36"/>
        </w:numPr>
        <w:spacing w:line="480" w:lineRule="auto"/>
        <w:ind w:left="709"/>
        <w:jc w:val="both"/>
        <w:textDirection w:val="btLr"/>
        <w:rPr>
          <w:rFonts w:ascii="Times New Roman" w:eastAsia="Century Gothic" w:hAnsi="Times New Roman" w:cs="Times New Roman"/>
          <w:sz w:val="24"/>
        </w:rPr>
      </w:pPr>
      <w:r w:rsidRPr="008449D6">
        <w:rPr>
          <w:rFonts w:ascii="Times New Roman" w:eastAsia="Century Gothic" w:hAnsi="Times New Roman" w:cs="Times New Roman"/>
          <w:sz w:val="24"/>
        </w:rPr>
        <w:t xml:space="preserve">Analizar la jurisprudencia y doctrina  frente a los perjuicios extrapatrimoniales. </w:t>
      </w:r>
    </w:p>
    <w:p w14:paraId="3B8A0618" w14:textId="793D3C17" w:rsidR="00413511" w:rsidRPr="008449D6" w:rsidRDefault="00413511" w:rsidP="005B1849">
      <w:pPr>
        <w:pStyle w:val="Prrafodelista"/>
        <w:widowControl w:val="0"/>
        <w:numPr>
          <w:ilvl w:val="1"/>
          <w:numId w:val="36"/>
        </w:numPr>
        <w:spacing w:line="480" w:lineRule="auto"/>
        <w:ind w:left="709"/>
        <w:jc w:val="both"/>
        <w:textDirection w:val="btLr"/>
        <w:rPr>
          <w:rFonts w:ascii="Times New Roman" w:eastAsia="Century Gothic" w:hAnsi="Times New Roman" w:cs="Times New Roman"/>
          <w:sz w:val="24"/>
        </w:rPr>
      </w:pPr>
      <w:r w:rsidRPr="008449D6">
        <w:rPr>
          <w:rFonts w:ascii="Times New Roman" w:eastAsia="Century Gothic" w:hAnsi="Times New Roman" w:cs="Times New Roman"/>
          <w:sz w:val="24"/>
        </w:rPr>
        <w:t xml:space="preserve">Estudiar las normas del </w:t>
      </w:r>
      <w:r w:rsidR="005B1849">
        <w:rPr>
          <w:rFonts w:ascii="Times New Roman" w:eastAsia="Century Gothic" w:hAnsi="Times New Roman" w:cs="Times New Roman"/>
          <w:sz w:val="24"/>
        </w:rPr>
        <w:t>C</w:t>
      </w:r>
      <w:r w:rsidRPr="008449D6">
        <w:rPr>
          <w:rFonts w:ascii="Times New Roman" w:eastAsia="Century Gothic" w:hAnsi="Times New Roman" w:cs="Times New Roman"/>
          <w:sz w:val="24"/>
        </w:rPr>
        <w:t xml:space="preserve">ódigo </w:t>
      </w:r>
      <w:r w:rsidR="005B1849">
        <w:rPr>
          <w:rFonts w:ascii="Times New Roman" w:eastAsia="Century Gothic" w:hAnsi="Times New Roman" w:cs="Times New Roman"/>
          <w:sz w:val="24"/>
        </w:rPr>
        <w:t>C</w:t>
      </w:r>
      <w:r w:rsidRPr="008449D6">
        <w:rPr>
          <w:rFonts w:ascii="Times New Roman" w:eastAsia="Century Gothic" w:hAnsi="Times New Roman" w:cs="Times New Roman"/>
          <w:sz w:val="24"/>
        </w:rPr>
        <w:t xml:space="preserve">ivil, la doctrina y la jurisprudencia frente a la indemnización de perjuicios. </w:t>
      </w:r>
    </w:p>
    <w:p w14:paraId="3918A5BB" w14:textId="6EF323C4" w:rsidR="00413511" w:rsidRPr="008449D6" w:rsidRDefault="00413511" w:rsidP="008449D6">
      <w:pPr>
        <w:pStyle w:val="Prrafodelista"/>
        <w:widowControl w:val="0"/>
        <w:numPr>
          <w:ilvl w:val="0"/>
          <w:numId w:val="36"/>
        </w:numPr>
        <w:spacing w:line="480" w:lineRule="auto"/>
        <w:jc w:val="both"/>
        <w:textDirection w:val="btLr"/>
        <w:rPr>
          <w:rFonts w:ascii="Times New Roman" w:eastAsia="Century Gothic" w:hAnsi="Times New Roman" w:cs="Times New Roman"/>
          <w:sz w:val="24"/>
        </w:rPr>
      </w:pPr>
      <w:r w:rsidRPr="008449D6">
        <w:rPr>
          <w:rFonts w:ascii="Times New Roman" w:eastAsia="Century Gothic" w:hAnsi="Times New Roman" w:cs="Times New Roman"/>
          <w:sz w:val="24"/>
        </w:rPr>
        <w:t>Determinar cu</w:t>
      </w:r>
      <w:r w:rsidR="008449D6">
        <w:rPr>
          <w:rFonts w:ascii="Times New Roman" w:eastAsia="Century Gothic" w:hAnsi="Times New Roman" w:cs="Times New Roman"/>
          <w:sz w:val="24"/>
        </w:rPr>
        <w:t>á</w:t>
      </w:r>
      <w:r w:rsidRPr="008449D6">
        <w:rPr>
          <w:rFonts w:ascii="Times New Roman" w:eastAsia="Century Gothic" w:hAnsi="Times New Roman" w:cs="Times New Roman"/>
          <w:sz w:val="24"/>
        </w:rPr>
        <w:t xml:space="preserve">les </w:t>
      </w:r>
      <w:r w:rsidR="008449D6">
        <w:rPr>
          <w:rFonts w:ascii="Times New Roman" w:eastAsia="Century Gothic" w:hAnsi="Times New Roman" w:cs="Times New Roman"/>
          <w:sz w:val="24"/>
        </w:rPr>
        <w:t>son</w:t>
      </w:r>
      <w:r w:rsidRPr="008449D6">
        <w:rPr>
          <w:rFonts w:ascii="Times New Roman" w:eastAsia="Century Gothic" w:hAnsi="Times New Roman" w:cs="Times New Roman"/>
          <w:sz w:val="24"/>
        </w:rPr>
        <w:t xml:space="preserve"> los tipos de perjuicio ex</w:t>
      </w:r>
      <w:r w:rsidR="00667C78">
        <w:rPr>
          <w:rFonts w:ascii="Times New Roman" w:eastAsia="Century Gothic" w:hAnsi="Times New Roman" w:cs="Times New Roman"/>
          <w:sz w:val="24"/>
        </w:rPr>
        <w:t>tra</w:t>
      </w:r>
      <w:r w:rsidRPr="008449D6">
        <w:rPr>
          <w:rFonts w:ascii="Times New Roman" w:eastAsia="Century Gothic" w:hAnsi="Times New Roman" w:cs="Times New Roman"/>
          <w:sz w:val="24"/>
        </w:rPr>
        <w:t xml:space="preserve">patrimoniales que se le podrían causar a un </w:t>
      </w:r>
      <w:r w:rsidR="005B1849">
        <w:rPr>
          <w:rFonts w:ascii="Times New Roman" w:eastAsia="Century Gothic" w:hAnsi="Times New Roman" w:cs="Times New Roman"/>
          <w:sz w:val="24"/>
        </w:rPr>
        <w:t>afiliado</w:t>
      </w:r>
      <w:r w:rsidRPr="008449D6">
        <w:rPr>
          <w:rFonts w:ascii="Times New Roman" w:eastAsia="Century Gothic" w:hAnsi="Times New Roman" w:cs="Times New Roman"/>
          <w:sz w:val="24"/>
        </w:rPr>
        <w:t xml:space="preserve"> por parte de una AFP y de la </w:t>
      </w:r>
      <w:r w:rsidR="00667C78">
        <w:rPr>
          <w:rFonts w:ascii="Times New Roman" w:eastAsia="Century Gothic" w:hAnsi="Times New Roman" w:cs="Times New Roman"/>
          <w:sz w:val="24"/>
        </w:rPr>
        <w:t>S</w:t>
      </w:r>
      <w:r w:rsidRPr="008449D6">
        <w:rPr>
          <w:rFonts w:ascii="Times New Roman" w:eastAsia="Century Gothic" w:hAnsi="Times New Roman" w:cs="Times New Roman"/>
          <w:sz w:val="24"/>
        </w:rPr>
        <w:t xml:space="preserve">uperintendencia </w:t>
      </w:r>
      <w:r w:rsidR="00667C78">
        <w:rPr>
          <w:rFonts w:ascii="Times New Roman" w:eastAsia="Century Gothic" w:hAnsi="Times New Roman" w:cs="Times New Roman"/>
          <w:sz w:val="24"/>
        </w:rPr>
        <w:t>F</w:t>
      </w:r>
      <w:r w:rsidRPr="008449D6">
        <w:rPr>
          <w:rFonts w:ascii="Times New Roman" w:eastAsia="Century Gothic" w:hAnsi="Times New Roman" w:cs="Times New Roman"/>
          <w:sz w:val="24"/>
        </w:rPr>
        <w:t>inanciera al momento del acto jurídico de afiliación o traslado</w:t>
      </w:r>
      <w:r w:rsidR="008449D6">
        <w:rPr>
          <w:rFonts w:ascii="Times New Roman" w:eastAsia="Century Gothic" w:hAnsi="Times New Roman" w:cs="Times New Roman"/>
          <w:sz w:val="24"/>
        </w:rPr>
        <w:t>.</w:t>
      </w:r>
    </w:p>
    <w:p w14:paraId="3CCF635A" w14:textId="55B64A99" w:rsidR="007F5A29" w:rsidRPr="00BF1BB3" w:rsidRDefault="00413511" w:rsidP="00BF1BB3">
      <w:pPr>
        <w:pStyle w:val="Prrafodelista"/>
        <w:widowControl w:val="0"/>
        <w:numPr>
          <w:ilvl w:val="0"/>
          <w:numId w:val="36"/>
        </w:numPr>
        <w:spacing w:line="480" w:lineRule="auto"/>
        <w:jc w:val="both"/>
        <w:textDirection w:val="btLr"/>
        <w:rPr>
          <w:rFonts w:ascii="Times New Roman" w:eastAsia="Century Gothic" w:hAnsi="Times New Roman" w:cs="Times New Roman"/>
          <w:sz w:val="24"/>
        </w:rPr>
      </w:pPr>
      <w:r w:rsidRPr="008449D6">
        <w:rPr>
          <w:rFonts w:ascii="Times New Roman" w:eastAsia="Century Gothic" w:hAnsi="Times New Roman" w:cs="Times New Roman"/>
          <w:sz w:val="24"/>
        </w:rPr>
        <w:t xml:space="preserve">Identificar la regulación normativa, doctrinal y jurisprudencial de la reparación directa, de la falla en el servicio y de la función de inspección, vigilancia y control de la Superintendencia </w:t>
      </w:r>
      <w:r w:rsidR="00667C78">
        <w:rPr>
          <w:rFonts w:ascii="Times New Roman" w:eastAsia="Century Gothic" w:hAnsi="Times New Roman" w:cs="Times New Roman"/>
          <w:sz w:val="24"/>
        </w:rPr>
        <w:t>F</w:t>
      </w:r>
      <w:r w:rsidRPr="008449D6">
        <w:rPr>
          <w:rFonts w:ascii="Times New Roman" w:eastAsia="Century Gothic" w:hAnsi="Times New Roman" w:cs="Times New Roman"/>
          <w:sz w:val="24"/>
        </w:rPr>
        <w:t xml:space="preserve">inanciera a través de la regulación normativa, los </w:t>
      </w:r>
      <w:r w:rsidRPr="008449D6">
        <w:rPr>
          <w:rFonts w:ascii="Times New Roman" w:eastAsia="Century Gothic" w:hAnsi="Times New Roman" w:cs="Times New Roman"/>
          <w:sz w:val="24"/>
        </w:rPr>
        <w:lastRenderedPageBreak/>
        <w:t>conceptos y comunicados de prensa que ha emitido</w:t>
      </w:r>
      <w:bookmarkStart w:id="7" w:name="Libertad_de_Selección"/>
      <w:r w:rsidR="00667C78">
        <w:rPr>
          <w:rFonts w:ascii="Times New Roman" w:eastAsia="Century Gothic" w:hAnsi="Times New Roman" w:cs="Times New Roman"/>
          <w:sz w:val="24"/>
        </w:rPr>
        <w:t xml:space="preserve"> esta entidad.</w:t>
      </w:r>
      <w:r w:rsidR="000C2736" w:rsidRPr="008449D6">
        <w:rPr>
          <w:rFonts w:ascii="Times New Roman" w:eastAsia="Century Gothic" w:hAnsi="Times New Roman" w:cs="Times New Roman"/>
          <w:sz w:val="24"/>
        </w:rPr>
        <w:t xml:space="preserve"> </w:t>
      </w:r>
    </w:p>
    <w:p w14:paraId="5B32D82A" w14:textId="34A5248D" w:rsidR="00AB63DB" w:rsidRPr="00AB63DB" w:rsidRDefault="00715474" w:rsidP="00800508">
      <w:pPr>
        <w:suppressAutoHyphens/>
        <w:spacing w:line="480" w:lineRule="auto"/>
        <w:textDirection w:val="btLr"/>
        <w:textAlignment w:val="top"/>
        <w:outlineLvl w:val="0"/>
        <w:rPr>
          <w:rFonts w:eastAsia="Century Gothic"/>
          <w:b/>
        </w:rPr>
      </w:pPr>
      <w:r w:rsidRPr="00AB63DB">
        <w:rPr>
          <w:rFonts w:eastAsia="Century Gothic"/>
          <w:b/>
        </w:rPr>
        <w:t>P</w:t>
      </w:r>
      <w:r w:rsidR="008E247C">
        <w:rPr>
          <w:rFonts w:eastAsia="Century Gothic"/>
          <w:b/>
        </w:rPr>
        <w:t>rincipio de libertad de selección del sistema</w:t>
      </w:r>
      <w:bookmarkEnd w:id="7"/>
      <w:r w:rsidR="008E247C">
        <w:rPr>
          <w:rFonts w:eastAsia="Century Gothic"/>
          <w:b/>
        </w:rPr>
        <w:t xml:space="preserve"> </w:t>
      </w:r>
    </w:p>
    <w:p w14:paraId="489B9C33" w14:textId="192347D4" w:rsidR="00AB63DB" w:rsidRDefault="008419EB" w:rsidP="00F70150">
      <w:pPr>
        <w:suppressAutoHyphens/>
        <w:spacing w:line="480" w:lineRule="auto"/>
        <w:ind w:firstLine="709"/>
        <w:textDirection w:val="btLr"/>
        <w:textAlignment w:val="top"/>
        <w:outlineLvl w:val="0"/>
        <w:rPr>
          <w:rFonts w:eastAsia="Century Gothic"/>
        </w:rPr>
      </w:pPr>
      <w:r>
        <w:rPr>
          <w:rFonts w:eastAsia="Century Gothic"/>
        </w:rPr>
        <w:t>U</w:t>
      </w:r>
      <w:r w:rsidR="00AB63DB" w:rsidRPr="00AB63DB">
        <w:rPr>
          <w:rFonts w:eastAsia="Century Gothic"/>
        </w:rPr>
        <w:t xml:space="preserve">n principio básico del sistema de seguridad social integral </w:t>
      </w:r>
      <w:r>
        <w:rPr>
          <w:rFonts w:eastAsia="Century Gothic"/>
        </w:rPr>
        <w:t xml:space="preserve">contenido en la </w:t>
      </w:r>
      <w:r w:rsidR="00AB63DB" w:rsidRPr="00AB63DB">
        <w:rPr>
          <w:rFonts w:eastAsia="Century Gothic"/>
        </w:rPr>
        <w:t>ley 100 de 1993,</w:t>
      </w:r>
      <w:r>
        <w:rPr>
          <w:rFonts w:eastAsia="Century Gothic"/>
        </w:rPr>
        <w:t xml:space="preserve"> es el de la libertad de elección del sistema</w:t>
      </w:r>
      <w:r w:rsidR="00CA56CA">
        <w:rPr>
          <w:rFonts w:eastAsia="Century Gothic"/>
        </w:rPr>
        <w:t>;</w:t>
      </w:r>
      <w:r>
        <w:rPr>
          <w:rFonts w:eastAsia="Century Gothic"/>
        </w:rPr>
        <w:t xml:space="preserve"> este se concreta en</w:t>
      </w:r>
      <w:r w:rsidR="00AB63DB" w:rsidRPr="00AB63DB">
        <w:rPr>
          <w:rFonts w:eastAsia="Century Gothic"/>
        </w:rPr>
        <w:t>: 1) la afiliación a cada uno de los sistemas que componen el sistema, es independiente</w:t>
      </w:r>
      <w:r>
        <w:rPr>
          <w:rFonts w:eastAsia="Century Gothic"/>
        </w:rPr>
        <w:t xml:space="preserve"> y</w:t>
      </w:r>
      <w:r w:rsidR="00AB63DB" w:rsidRPr="00AB63DB">
        <w:rPr>
          <w:rFonts w:eastAsia="Century Gothic"/>
        </w:rPr>
        <w:t xml:space="preserve"> 2) </w:t>
      </w:r>
      <w:r>
        <w:rPr>
          <w:rFonts w:eastAsia="Century Gothic"/>
        </w:rPr>
        <w:t xml:space="preserve">los afiliados </w:t>
      </w:r>
      <w:r w:rsidR="00AB63DB" w:rsidRPr="00AB63DB">
        <w:rPr>
          <w:rFonts w:eastAsia="Century Gothic"/>
        </w:rPr>
        <w:t xml:space="preserve">podrán escoger de manera separada la entidad administradora del régimen de pensiones, a la cual deseen estar vinculados. </w:t>
      </w:r>
    </w:p>
    <w:p w14:paraId="14C41B4F" w14:textId="59487B80" w:rsidR="00AB63DB" w:rsidRPr="00AB63DB" w:rsidRDefault="00AB63DB" w:rsidP="00F70150">
      <w:pPr>
        <w:suppressAutoHyphens/>
        <w:spacing w:line="480" w:lineRule="auto"/>
        <w:ind w:firstLine="709"/>
        <w:textDirection w:val="btLr"/>
        <w:textAlignment w:val="top"/>
        <w:outlineLvl w:val="0"/>
        <w:rPr>
          <w:rFonts w:eastAsia="Century Gothic"/>
        </w:rPr>
      </w:pPr>
      <w:r w:rsidRPr="00AB63DB">
        <w:rPr>
          <w:rFonts w:eastAsia="Century Gothic"/>
        </w:rPr>
        <w:t>No obstante, si hay vulneración a tal principio se han consagrado sanciones, pues el empleador y en general cualquier persona natural o jurídica que impida o atente en cualquier forma contra el derecho</w:t>
      </w:r>
      <w:r w:rsidR="008419EB">
        <w:rPr>
          <w:rFonts w:eastAsia="Century Gothic"/>
        </w:rPr>
        <w:t xml:space="preserve"> de la libertad de selección, entendida esta como un acto de libre escogencia</w:t>
      </w:r>
      <w:r w:rsidRPr="00AB63DB">
        <w:rPr>
          <w:rFonts w:eastAsia="Century Gothic"/>
        </w:rPr>
        <w:t xml:space="preserve">, se hará acreedor en cada caso y por cada afiliado, a una multa impuesta por las autoridades del Ministerio del Trabajo, que no podrá ser inferior a (1) salario mínimo mensual vigente ni </w:t>
      </w:r>
      <w:r w:rsidR="00BF1BB3">
        <w:rPr>
          <w:rFonts w:eastAsia="Century Gothic"/>
        </w:rPr>
        <w:t>exceder 50 veces dicho salario</w:t>
      </w:r>
      <w:r w:rsidR="00A154B2">
        <w:rPr>
          <w:rFonts w:eastAsia="Century Gothic"/>
        </w:rPr>
        <w:t>, de conformidad con el artículo 271 de la Ley 100 de 1993</w:t>
      </w:r>
      <w:r w:rsidR="00BF1BB3">
        <w:rPr>
          <w:rFonts w:eastAsia="Century Gothic"/>
        </w:rPr>
        <w:t>.</w:t>
      </w:r>
    </w:p>
    <w:p w14:paraId="7FB4D692" w14:textId="77777777" w:rsidR="00BF1BB3" w:rsidRDefault="00BF1BB3" w:rsidP="00F70150">
      <w:pPr>
        <w:spacing w:line="480" w:lineRule="auto"/>
        <w:rPr>
          <w:b/>
        </w:rPr>
      </w:pPr>
      <w:bookmarkStart w:id="8" w:name="Regímenes"/>
    </w:p>
    <w:p w14:paraId="425863D1" w14:textId="1DDC544A" w:rsidR="00AB63DB" w:rsidRPr="00AB63DB" w:rsidRDefault="00715474" w:rsidP="00F70150">
      <w:pPr>
        <w:spacing w:line="480" w:lineRule="auto"/>
        <w:rPr>
          <w:b/>
        </w:rPr>
      </w:pPr>
      <w:r>
        <w:rPr>
          <w:b/>
        </w:rPr>
        <w:t>Re</w:t>
      </w:r>
      <w:r w:rsidRPr="00AB63DB">
        <w:rPr>
          <w:b/>
        </w:rPr>
        <w:t>g</w:t>
      </w:r>
      <w:r>
        <w:rPr>
          <w:b/>
        </w:rPr>
        <w:t>í</w:t>
      </w:r>
      <w:r w:rsidRPr="00AB63DB">
        <w:rPr>
          <w:b/>
        </w:rPr>
        <w:t>menes pensionales</w:t>
      </w:r>
    </w:p>
    <w:bookmarkEnd w:id="8"/>
    <w:p w14:paraId="53FA12A8" w14:textId="5447337E" w:rsidR="00AB63DB" w:rsidRPr="00AB63DB" w:rsidRDefault="009634E5" w:rsidP="00F70150">
      <w:pPr>
        <w:spacing w:line="480" w:lineRule="auto"/>
        <w:ind w:firstLine="709"/>
      </w:pPr>
      <w:r>
        <w:t>Según el artículo 12 de la ley 100 de 1993, “e</w:t>
      </w:r>
      <w:r w:rsidR="00AB63DB" w:rsidRPr="00AB63DB">
        <w:t>l sistema general de pensiones, está compuesto por dos regímenes solidarios excluyentes pero que coexisten, a saber: 1) Régimen solidario de prima media con prestación definida</w:t>
      </w:r>
      <w:r w:rsidR="008E247C">
        <w:t xml:space="preserve"> (en adelante RPM)</w:t>
      </w:r>
      <w:r w:rsidR="00AB63DB" w:rsidRPr="00AB63DB">
        <w:t>, que es el mis</w:t>
      </w:r>
      <w:r w:rsidR="008419EB">
        <w:t xml:space="preserve">mo sistema tradicional del ISS </w:t>
      </w:r>
      <w:r w:rsidR="00AB63DB" w:rsidRPr="00AB63DB">
        <w:t>(actualmente Colpensiones) y 2) Régimen de ahorro individual con solidaridad o fondos privados de pensiones</w:t>
      </w:r>
      <w:r w:rsidR="008E247C">
        <w:t xml:space="preserve"> (En adelante RAIS)</w:t>
      </w:r>
      <w:r>
        <w:t>”</w:t>
      </w:r>
      <w:r w:rsidR="00816812">
        <w:t>.</w:t>
      </w:r>
      <w:r>
        <w:t xml:space="preserve"> </w:t>
      </w:r>
    </w:p>
    <w:p w14:paraId="7CE64C2D" w14:textId="7587609E" w:rsidR="00AB63DB" w:rsidRPr="00AB63DB" w:rsidRDefault="00AB63DB" w:rsidP="00B61C6D">
      <w:pPr>
        <w:spacing w:line="480" w:lineRule="auto"/>
        <w:ind w:firstLine="709"/>
      </w:pPr>
      <w:r w:rsidRPr="00AB63DB">
        <w:lastRenderedPageBreak/>
        <w:t xml:space="preserve">El sistema general de pensiones en cualquiera de los dos regímenes, garantiza a sus afiliados, y a sus beneficiarios cuando sea el caso, las siguientes pensiones y/o prestaciones económicas: </w:t>
      </w:r>
      <w:r w:rsidR="00B61C6D">
        <w:t>a) p</w:t>
      </w:r>
      <w:r w:rsidRPr="00AB63DB">
        <w:t>ensión de vejez</w:t>
      </w:r>
      <w:r w:rsidR="00B61C6D">
        <w:t>, b) p</w:t>
      </w:r>
      <w:r w:rsidRPr="00AB63DB">
        <w:t>ensión de invalidez</w:t>
      </w:r>
      <w:r w:rsidR="00B61C6D">
        <w:t>, c) p</w:t>
      </w:r>
      <w:r w:rsidRPr="00AB63DB">
        <w:t>ensión de sobrevivientes</w:t>
      </w:r>
      <w:r w:rsidR="00B61C6D">
        <w:t xml:space="preserve"> y d) a</w:t>
      </w:r>
      <w:r w:rsidRPr="00AB63DB">
        <w:t xml:space="preserve">uxilio funerario. </w:t>
      </w:r>
    </w:p>
    <w:p w14:paraId="2A054905" w14:textId="77777777" w:rsidR="00AB63DB" w:rsidRPr="00AB63DB" w:rsidRDefault="00AB63DB" w:rsidP="00F70150">
      <w:pPr>
        <w:spacing w:line="480" w:lineRule="auto"/>
        <w:ind w:firstLine="709"/>
      </w:pPr>
      <w:r w:rsidRPr="00AB63DB">
        <w:t xml:space="preserve">Cuando no se cumplan los requisitos mínimos para acceder a las pensiones previstas, habrá lugar, en todo caso, a la devolución de saldos o a las indemnizaciones sustitutivas que correspondan. </w:t>
      </w:r>
    </w:p>
    <w:p w14:paraId="7DC7F26E" w14:textId="77777777" w:rsidR="00800508" w:rsidRPr="00AB63DB" w:rsidRDefault="00800508" w:rsidP="00F70150">
      <w:pPr>
        <w:spacing w:line="480" w:lineRule="auto"/>
      </w:pPr>
    </w:p>
    <w:p w14:paraId="4BBBD409" w14:textId="75FC91AC" w:rsidR="00AB63DB" w:rsidRPr="00AB63DB" w:rsidRDefault="009D525D" w:rsidP="00F70150">
      <w:pPr>
        <w:spacing w:line="480" w:lineRule="auto"/>
        <w:rPr>
          <w:b/>
        </w:rPr>
      </w:pPr>
      <w:bookmarkStart w:id="9" w:name="Afiliación"/>
      <w:r>
        <w:rPr>
          <w:b/>
        </w:rPr>
        <w:t xml:space="preserve">Sobre el </w:t>
      </w:r>
      <w:r w:rsidRPr="00AB63DB">
        <w:rPr>
          <w:b/>
        </w:rPr>
        <w:t xml:space="preserve">acto jurídico </w:t>
      </w:r>
      <w:r>
        <w:rPr>
          <w:b/>
        </w:rPr>
        <w:t>d</w:t>
      </w:r>
      <w:r w:rsidRPr="00AB63DB">
        <w:rPr>
          <w:b/>
        </w:rPr>
        <w:t xml:space="preserve">e afiliación </w:t>
      </w:r>
    </w:p>
    <w:bookmarkEnd w:id="9"/>
    <w:p w14:paraId="5A896AAB" w14:textId="6640125B" w:rsidR="00AB63DB" w:rsidRPr="00AB63DB" w:rsidRDefault="00AB63DB" w:rsidP="00F70150">
      <w:pPr>
        <w:spacing w:line="480" w:lineRule="auto"/>
        <w:ind w:firstLine="709"/>
      </w:pPr>
      <w:r w:rsidRPr="00AB63DB">
        <w:t>La afiliación es un acto jurídico mediante el cual una persona manifiesta su voluntad de ingresar a una entidad administradora de la seguridad social, cuyo perfeccionamiento se produce con el “simple diligenciamiento del formulario de vinculación” (</w:t>
      </w:r>
      <w:r w:rsidR="00715474">
        <w:t xml:space="preserve">Corte Suprema de Justicia, Sala de Casación Laboral, </w:t>
      </w:r>
      <w:r w:rsidR="00715474" w:rsidRPr="00715474">
        <w:t>S</w:t>
      </w:r>
      <w:r w:rsidRPr="00715474">
        <w:t>L413</w:t>
      </w:r>
      <w:r w:rsidR="00715474" w:rsidRPr="00715474">
        <w:t>,</w:t>
      </w:r>
      <w:r w:rsidRPr="00715474">
        <w:t xml:space="preserve"> 2018</w:t>
      </w:r>
      <w:r w:rsidRPr="00AB63DB">
        <w:t>), de conformidad con el artículo 41 del Decreto 1406 de 1999 y ratificado así por la jurisprudencia de la Corte Suprema de Justicia (</w:t>
      </w:r>
      <w:r w:rsidR="00715474">
        <w:t>Corte Suprema de Justicia, Sala de Casación Laboral</w:t>
      </w:r>
      <w:r w:rsidR="00715474" w:rsidRPr="00715474">
        <w:t xml:space="preserve">, </w:t>
      </w:r>
      <w:r w:rsidR="00715474">
        <w:t xml:space="preserve">SL42787, </w:t>
      </w:r>
      <w:r w:rsidRPr="00715474">
        <w:t>2013</w:t>
      </w:r>
      <w:r w:rsidRPr="00AB63DB">
        <w:t>). Tendrán calidad de afiliados las personas descritas en el artículo 15 de la ley 100 de 1993, los cuales a su vez se clasifican en dos:</w:t>
      </w:r>
    </w:p>
    <w:p w14:paraId="5E9E7CA6" w14:textId="77777777" w:rsidR="00BB5BD0" w:rsidRPr="00BB5BD0" w:rsidRDefault="00715474" w:rsidP="00816812">
      <w:pPr>
        <w:pStyle w:val="Prrafodelista"/>
        <w:numPr>
          <w:ilvl w:val="0"/>
          <w:numId w:val="7"/>
        </w:numPr>
        <w:spacing w:line="480" w:lineRule="auto"/>
        <w:ind w:left="284" w:hanging="357"/>
        <w:rPr>
          <w:rFonts w:ascii="Times New Roman" w:hAnsi="Times New Roman" w:cs="Times New Roman"/>
          <w:sz w:val="24"/>
          <w:szCs w:val="24"/>
        </w:rPr>
      </w:pPr>
      <w:r w:rsidRPr="00BB5BD0">
        <w:rPr>
          <w:rFonts w:ascii="Times New Roman" w:hAnsi="Times New Roman" w:cs="Times New Roman"/>
          <w:b/>
          <w:sz w:val="24"/>
        </w:rPr>
        <w:t>Obligatorios.</w:t>
      </w:r>
      <w:r w:rsidR="00AB63DB" w:rsidRPr="00BB5BD0">
        <w:rPr>
          <w:rFonts w:ascii="Times New Roman" w:hAnsi="Times New Roman" w:cs="Times New Roman"/>
          <w:sz w:val="24"/>
        </w:rPr>
        <w:t xml:space="preserve"> Son afiliados en forma obligatoria los siguientes:</w:t>
      </w:r>
    </w:p>
    <w:p w14:paraId="0A1FA1E8" w14:textId="0120CD6A" w:rsidR="00AB63DB" w:rsidRPr="00BB5BD0" w:rsidRDefault="00AB63DB" w:rsidP="00816812">
      <w:pPr>
        <w:pStyle w:val="Prrafodelista"/>
        <w:numPr>
          <w:ilvl w:val="1"/>
          <w:numId w:val="7"/>
        </w:numPr>
        <w:spacing w:line="480" w:lineRule="auto"/>
        <w:ind w:left="709" w:hanging="357"/>
        <w:rPr>
          <w:rFonts w:ascii="Times New Roman" w:hAnsi="Times New Roman" w:cs="Times New Roman"/>
          <w:sz w:val="24"/>
          <w:szCs w:val="24"/>
        </w:rPr>
      </w:pPr>
      <w:r w:rsidRPr="00BB5BD0">
        <w:rPr>
          <w:rFonts w:ascii="Times New Roman" w:hAnsi="Times New Roman" w:cs="Times New Roman"/>
          <w:sz w:val="24"/>
          <w:szCs w:val="24"/>
        </w:rPr>
        <w:t>Las personas vinculadas mediante contrato de trabajo.</w:t>
      </w:r>
    </w:p>
    <w:p w14:paraId="7A92EFBC" w14:textId="77777777" w:rsidR="00AB63DB" w:rsidRPr="00AB63DB" w:rsidRDefault="00AB63DB" w:rsidP="00816812">
      <w:pPr>
        <w:pStyle w:val="Prrafodelista"/>
        <w:numPr>
          <w:ilvl w:val="1"/>
          <w:numId w:val="7"/>
        </w:numPr>
        <w:spacing w:line="480" w:lineRule="auto"/>
        <w:ind w:left="709" w:hanging="357"/>
        <w:rPr>
          <w:rFonts w:ascii="Times New Roman" w:hAnsi="Times New Roman" w:cs="Times New Roman"/>
          <w:sz w:val="24"/>
          <w:szCs w:val="24"/>
        </w:rPr>
      </w:pPr>
      <w:r w:rsidRPr="00AB63DB">
        <w:rPr>
          <w:rFonts w:ascii="Times New Roman" w:hAnsi="Times New Roman" w:cs="Times New Roman"/>
          <w:sz w:val="24"/>
          <w:szCs w:val="24"/>
        </w:rPr>
        <w:t xml:space="preserve">Los servidores públicos. </w:t>
      </w:r>
    </w:p>
    <w:p w14:paraId="7203F0CF" w14:textId="77777777" w:rsidR="00AB63DB" w:rsidRPr="00AB63DB" w:rsidRDefault="00AB63DB" w:rsidP="00816812">
      <w:pPr>
        <w:pStyle w:val="Prrafodelista"/>
        <w:numPr>
          <w:ilvl w:val="1"/>
          <w:numId w:val="7"/>
        </w:numPr>
        <w:spacing w:line="480" w:lineRule="auto"/>
        <w:ind w:left="1134" w:hanging="357"/>
        <w:rPr>
          <w:rFonts w:ascii="Times New Roman" w:hAnsi="Times New Roman" w:cs="Times New Roman"/>
          <w:sz w:val="24"/>
          <w:szCs w:val="24"/>
        </w:rPr>
      </w:pPr>
      <w:r w:rsidRPr="00AB63DB">
        <w:rPr>
          <w:rFonts w:ascii="Times New Roman" w:hAnsi="Times New Roman" w:cs="Times New Roman"/>
          <w:sz w:val="24"/>
          <w:szCs w:val="24"/>
        </w:rPr>
        <w:t xml:space="preserve">Las personas naturales que presten directamente servicios al Estado o a las entidades o empresas del sector privado, bajo la modalidad de </w:t>
      </w:r>
      <w:r w:rsidRPr="00AB63DB">
        <w:rPr>
          <w:rFonts w:ascii="Times New Roman" w:hAnsi="Times New Roman" w:cs="Times New Roman"/>
          <w:sz w:val="24"/>
          <w:szCs w:val="24"/>
        </w:rPr>
        <w:lastRenderedPageBreak/>
        <w:t>contratos de prestación de servicios, o cualquier otra modalidad de servicios que adopten.</w:t>
      </w:r>
    </w:p>
    <w:p w14:paraId="1C3A3C99" w14:textId="77777777" w:rsidR="00AB63DB" w:rsidRPr="00AB63DB" w:rsidRDefault="00AB63DB" w:rsidP="00816812">
      <w:pPr>
        <w:pStyle w:val="Prrafodelista"/>
        <w:numPr>
          <w:ilvl w:val="1"/>
          <w:numId w:val="7"/>
        </w:numPr>
        <w:spacing w:line="480" w:lineRule="auto"/>
        <w:ind w:left="1134" w:hanging="357"/>
        <w:rPr>
          <w:rFonts w:ascii="Times New Roman" w:hAnsi="Times New Roman" w:cs="Times New Roman"/>
          <w:sz w:val="24"/>
          <w:szCs w:val="24"/>
        </w:rPr>
      </w:pPr>
      <w:r w:rsidRPr="00AB63DB">
        <w:rPr>
          <w:rFonts w:ascii="Times New Roman" w:hAnsi="Times New Roman" w:cs="Times New Roman"/>
          <w:sz w:val="24"/>
          <w:szCs w:val="24"/>
        </w:rPr>
        <w:t xml:space="preserve">Los trabajadores independientes </w:t>
      </w:r>
    </w:p>
    <w:p w14:paraId="013375C1" w14:textId="77777777" w:rsidR="00AB63DB" w:rsidRDefault="00AB63DB" w:rsidP="00816812">
      <w:pPr>
        <w:pStyle w:val="Prrafodelista"/>
        <w:numPr>
          <w:ilvl w:val="1"/>
          <w:numId w:val="7"/>
        </w:numPr>
        <w:spacing w:line="480" w:lineRule="auto"/>
        <w:ind w:left="1134" w:hanging="357"/>
        <w:rPr>
          <w:rFonts w:ascii="Times New Roman" w:hAnsi="Times New Roman" w:cs="Times New Roman"/>
          <w:sz w:val="24"/>
          <w:szCs w:val="24"/>
        </w:rPr>
      </w:pPr>
      <w:r w:rsidRPr="00AB63DB">
        <w:rPr>
          <w:rFonts w:ascii="Times New Roman" w:hAnsi="Times New Roman" w:cs="Times New Roman"/>
          <w:sz w:val="24"/>
          <w:szCs w:val="24"/>
        </w:rPr>
        <w:t xml:space="preserve">Los grupos de población que por sus características o condiciones socioeconómicas sean elegidos para ser beneficiarios de subsidios a través del Fondo de Solidaridad Pensional, de acuerdo con las disponibilidades presupuestales. </w:t>
      </w:r>
    </w:p>
    <w:p w14:paraId="2161E104" w14:textId="49D6D803" w:rsidR="0031504C" w:rsidRDefault="0031504C" w:rsidP="00816812">
      <w:pPr>
        <w:pStyle w:val="Prrafodelista"/>
        <w:numPr>
          <w:ilvl w:val="1"/>
          <w:numId w:val="7"/>
        </w:numPr>
        <w:tabs>
          <w:tab w:val="left" w:pos="709"/>
        </w:tabs>
        <w:spacing w:line="480" w:lineRule="auto"/>
        <w:ind w:left="1134" w:hanging="357"/>
        <w:rPr>
          <w:rFonts w:ascii="Times New Roman" w:hAnsi="Times New Roman" w:cs="Times New Roman"/>
          <w:sz w:val="24"/>
          <w:szCs w:val="24"/>
        </w:rPr>
      </w:pPr>
      <w:r>
        <w:rPr>
          <w:rFonts w:ascii="Times New Roman" w:hAnsi="Times New Roman" w:cs="Times New Roman"/>
          <w:sz w:val="24"/>
          <w:szCs w:val="24"/>
        </w:rPr>
        <w:t>Los rentistas de capital.</w:t>
      </w:r>
    </w:p>
    <w:p w14:paraId="1AB5C1C1" w14:textId="0B89DEF6" w:rsidR="0031504C" w:rsidRPr="00AB63DB" w:rsidRDefault="0031504C" w:rsidP="00816812">
      <w:pPr>
        <w:pStyle w:val="Prrafodelista"/>
        <w:numPr>
          <w:ilvl w:val="1"/>
          <w:numId w:val="7"/>
        </w:numPr>
        <w:tabs>
          <w:tab w:val="left" w:pos="709"/>
        </w:tabs>
        <w:spacing w:line="480" w:lineRule="auto"/>
        <w:ind w:left="1134" w:hanging="357"/>
        <w:rPr>
          <w:rFonts w:ascii="Times New Roman" w:hAnsi="Times New Roman" w:cs="Times New Roman"/>
          <w:sz w:val="24"/>
          <w:szCs w:val="24"/>
        </w:rPr>
      </w:pPr>
      <w:r>
        <w:rPr>
          <w:rFonts w:ascii="Times New Roman" w:hAnsi="Times New Roman" w:cs="Times New Roman"/>
          <w:sz w:val="24"/>
          <w:szCs w:val="24"/>
        </w:rPr>
        <w:t xml:space="preserve">Todas las personas que tengan ingresos superiores a un (1) salario mínimo legal mensual vigente. </w:t>
      </w:r>
    </w:p>
    <w:p w14:paraId="5FD23BF8" w14:textId="35C5706A" w:rsidR="00AB63DB" w:rsidRPr="00AB63DB" w:rsidRDefault="00AB63DB" w:rsidP="00917EEE">
      <w:pPr>
        <w:pStyle w:val="Prrafodelista"/>
        <w:numPr>
          <w:ilvl w:val="0"/>
          <w:numId w:val="7"/>
        </w:numPr>
        <w:spacing w:line="480" w:lineRule="auto"/>
        <w:ind w:left="714" w:hanging="357"/>
        <w:rPr>
          <w:rFonts w:ascii="Times New Roman" w:hAnsi="Times New Roman" w:cs="Times New Roman"/>
          <w:sz w:val="24"/>
          <w:szCs w:val="24"/>
        </w:rPr>
      </w:pPr>
      <w:r w:rsidRPr="00715474">
        <w:rPr>
          <w:rFonts w:ascii="Times New Roman" w:hAnsi="Times New Roman" w:cs="Times New Roman"/>
          <w:b/>
          <w:sz w:val="24"/>
          <w:szCs w:val="24"/>
          <w:lang w:val="es-ES_tradnl"/>
        </w:rPr>
        <w:t>Voluntarios</w:t>
      </w:r>
      <w:r w:rsidR="00715474">
        <w:rPr>
          <w:rFonts w:ascii="Times New Roman" w:hAnsi="Times New Roman" w:cs="Times New Roman"/>
          <w:b/>
          <w:sz w:val="24"/>
          <w:szCs w:val="24"/>
          <w:lang w:val="es-ES_tradnl"/>
        </w:rPr>
        <w:t>.</w:t>
      </w:r>
      <w:r w:rsidRPr="00715474">
        <w:rPr>
          <w:rFonts w:ascii="Times New Roman" w:hAnsi="Times New Roman" w:cs="Times New Roman"/>
          <w:b/>
          <w:sz w:val="24"/>
          <w:szCs w:val="24"/>
          <w:lang w:val="es-ES_tradnl"/>
        </w:rPr>
        <w:t xml:space="preserve"> </w:t>
      </w:r>
      <w:r w:rsidRPr="00AB63DB">
        <w:rPr>
          <w:rFonts w:ascii="Times New Roman" w:hAnsi="Times New Roman" w:cs="Times New Roman"/>
          <w:sz w:val="24"/>
          <w:szCs w:val="24"/>
        </w:rPr>
        <w:t>Son afiliados en forma voluntaria los siguientes:</w:t>
      </w:r>
    </w:p>
    <w:p w14:paraId="1F5377EB" w14:textId="77777777" w:rsidR="00AB63DB" w:rsidRPr="00AB63DB" w:rsidRDefault="00AB63DB" w:rsidP="00917EEE">
      <w:pPr>
        <w:pStyle w:val="Prrafodelista"/>
        <w:numPr>
          <w:ilvl w:val="1"/>
          <w:numId w:val="7"/>
        </w:numPr>
        <w:spacing w:line="480" w:lineRule="auto"/>
        <w:ind w:left="1077" w:hanging="357"/>
        <w:rPr>
          <w:rFonts w:ascii="Times New Roman" w:hAnsi="Times New Roman" w:cs="Times New Roman"/>
          <w:sz w:val="24"/>
          <w:szCs w:val="24"/>
        </w:rPr>
      </w:pPr>
      <w:r w:rsidRPr="00AB63DB">
        <w:rPr>
          <w:rFonts w:ascii="Times New Roman" w:hAnsi="Times New Roman" w:cs="Times New Roman"/>
          <w:sz w:val="24"/>
          <w:szCs w:val="24"/>
        </w:rPr>
        <w:t>Todas las personas naturales residentes en el país y los colombianos domiciliados en el exterior, que no tengan la calidad de afiliados obligatorios y que no se encuentren expresamente excluidos por la ley.</w:t>
      </w:r>
    </w:p>
    <w:p w14:paraId="3D092A99" w14:textId="0DFB90E6" w:rsidR="005F6CD4" w:rsidRPr="008E247C" w:rsidRDefault="00AB63DB" w:rsidP="00917EEE">
      <w:pPr>
        <w:pStyle w:val="Prrafodelista"/>
        <w:numPr>
          <w:ilvl w:val="1"/>
          <w:numId w:val="7"/>
        </w:numPr>
        <w:spacing w:line="480" w:lineRule="auto"/>
        <w:ind w:left="1077" w:hanging="357"/>
        <w:rPr>
          <w:rFonts w:ascii="Times New Roman" w:hAnsi="Times New Roman" w:cs="Times New Roman"/>
          <w:sz w:val="24"/>
          <w:szCs w:val="24"/>
        </w:rPr>
      </w:pPr>
      <w:r w:rsidRPr="00AB63DB">
        <w:rPr>
          <w:rFonts w:ascii="Times New Roman" w:hAnsi="Times New Roman" w:cs="Times New Roman"/>
          <w:sz w:val="24"/>
          <w:szCs w:val="24"/>
        </w:rPr>
        <w:t>Los extranjeros que en virtud de un contrato de trabajo permanezcan en el país y no estén cubiertos por algún régimen de su país de origen o de cualquier otro.</w:t>
      </w:r>
    </w:p>
    <w:p w14:paraId="16D9F7BC" w14:textId="38E3DB1F" w:rsidR="008E247C" w:rsidRDefault="00BB5BD0" w:rsidP="00BB5BD0">
      <w:pPr>
        <w:spacing w:line="480" w:lineRule="auto"/>
        <w:ind w:firstLine="709"/>
      </w:pPr>
      <w:r>
        <w:t>Por otra parte, el artículo 16 de la Ley 100 de 1993 ha establecido una incompatibilidad de regímenes, por lo que e</w:t>
      </w:r>
      <w:r w:rsidR="00AB63DB" w:rsidRPr="00711D2F">
        <w:t xml:space="preserve">n ningún caso </w:t>
      </w:r>
      <w:r w:rsidR="00E11B29" w:rsidRPr="00711D2F">
        <w:t>una persona</w:t>
      </w:r>
      <w:r w:rsidR="00AB63DB" w:rsidRPr="00711D2F">
        <w:t xml:space="preserve"> podrá afiliarse a </w:t>
      </w:r>
      <w:r w:rsidRPr="00711D2F">
        <w:t>más</w:t>
      </w:r>
      <w:r w:rsidR="00AB63DB" w:rsidRPr="00711D2F">
        <w:t xml:space="preserve"> de un régimen pensional o distribuir las cotizaciones obligatorias entre los dos regímenes del sistema general de pensiones. La prohibición se extiende a las personas que tienen varios contratos de trabajo celebrados con diferentes empleadores</w:t>
      </w:r>
      <w:r w:rsidR="00E11B29" w:rsidRPr="00711D2F">
        <w:t xml:space="preserve"> (coexistencia de contratos) o que dicha persona celebre otros contratos  de diferente </w:t>
      </w:r>
      <w:r w:rsidR="00E11B29" w:rsidRPr="00711D2F">
        <w:lastRenderedPageBreak/>
        <w:t>naturaleza que obligue a este a generar dos o más cotizaciones (concurrencia de contratos)</w:t>
      </w:r>
      <w:r w:rsidR="00AB63DB" w:rsidRPr="00711D2F">
        <w:t xml:space="preserve">, por lo que </w:t>
      </w:r>
      <w:r w:rsidR="00E11B29" w:rsidRPr="00711D2F">
        <w:t xml:space="preserve"> siempre </w:t>
      </w:r>
      <w:r w:rsidR="00AB63DB" w:rsidRPr="00711D2F">
        <w:t xml:space="preserve">deberán afiliarse a un mismo </w:t>
      </w:r>
      <w:r w:rsidR="00E11B29" w:rsidRPr="00711D2F">
        <w:t>fondo de pensiones respecto a sus cotizaciones obligatorias</w:t>
      </w:r>
      <w:r w:rsidR="00AB63DB" w:rsidRPr="00711D2F">
        <w:t>.</w:t>
      </w:r>
      <w:r>
        <w:t xml:space="preserve"> </w:t>
      </w:r>
      <w:r w:rsidR="00AB63DB" w:rsidRPr="00BB5BD0">
        <w:t>No obstante</w:t>
      </w:r>
      <w:r>
        <w:t>,</w:t>
      </w:r>
      <w:r w:rsidR="00AB63DB" w:rsidRPr="00BB5BD0">
        <w:t xml:space="preserve"> los afiliados pueden optar libremente por tener un ahorro voluntario de pensiones en cualquier fondo que complem</w:t>
      </w:r>
      <w:r w:rsidR="00917EEE">
        <w:t>ente la afiliación obligatoria.</w:t>
      </w:r>
    </w:p>
    <w:p w14:paraId="1859FAD9" w14:textId="0C18F020" w:rsidR="00917EEE" w:rsidRPr="00BB5BD0" w:rsidRDefault="00917EEE" w:rsidP="00BB5BD0">
      <w:pPr>
        <w:spacing w:line="480" w:lineRule="auto"/>
        <w:ind w:firstLine="709"/>
      </w:pPr>
      <w:r>
        <w:t>Así las cosas, se tiene que el acto jurídico de afiliación tiene las siguientes características:</w:t>
      </w:r>
    </w:p>
    <w:p w14:paraId="1D44559D" w14:textId="51D3B7A3" w:rsidR="008E247C" w:rsidRPr="00711D2F" w:rsidRDefault="00AB63DB" w:rsidP="00917EEE">
      <w:pPr>
        <w:pStyle w:val="Prrafodelista"/>
        <w:numPr>
          <w:ilvl w:val="0"/>
          <w:numId w:val="11"/>
        </w:numPr>
        <w:spacing w:line="480" w:lineRule="auto"/>
        <w:ind w:left="714" w:hanging="357"/>
        <w:rPr>
          <w:rFonts w:ascii="Times New Roman" w:hAnsi="Times New Roman" w:cs="Times New Roman"/>
          <w:sz w:val="24"/>
          <w:szCs w:val="24"/>
        </w:rPr>
      </w:pPr>
      <w:r w:rsidRPr="00711D2F">
        <w:rPr>
          <w:rFonts w:ascii="Times New Roman" w:hAnsi="Times New Roman" w:cs="Times New Roman"/>
          <w:sz w:val="24"/>
          <w:szCs w:val="24"/>
        </w:rPr>
        <w:t>La afiliación puede ser individual o mediante agremiaciones o asociaciones, que tengan personería jurídica vigente. En todo caso, el afiliado será el responsable del pago de las cotizaciones y podrá cambiar de régimen o de administradora</w:t>
      </w:r>
      <w:r w:rsidR="00711D2F">
        <w:rPr>
          <w:rFonts w:ascii="Times New Roman" w:hAnsi="Times New Roman" w:cs="Times New Roman"/>
          <w:sz w:val="24"/>
          <w:szCs w:val="24"/>
        </w:rPr>
        <w:t xml:space="preserve"> de fondo de pensiones</w:t>
      </w:r>
      <w:r w:rsidRPr="00711D2F">
        <w:rPr>
          <w:rFonts w:ascii="Times New Roman" w:hAnsi="Times New Roman" w:cs="Times New Roman"/>
          <w:sz w:val="24"/>
          <w:szCs w:val="24"/>
        </w:rPr>
        <w:t>, de manera individual, aunque la selección inicial se haya efectuado a través de una agremiación o asociación</w:t>
      </w:r>
      <w:r w:rsidR="00E11B29" w:rsidRPr="00711D2F">
        <w:rPr>
          <w:rFonts w:ascii="Times New Roman" w:hAnsi="Times New Roman" w:cs="Times New Roman"/>
          <w:sz w:val="24"/>
          <w:szCs w:val="24"/>
        </w:rPr>
        <w:t xml:space="preserve"> respetando los tiempos mínimos de traslado entre régimenes o administradora de fondo de pensiones</w:t>
      </w:r>
      <w:r w:rsidR="008E247C" w:rsidRPr="00711D2F">
        <w:rPr>
          <w:rFonts w:ascii="Times New Roman" w:hAnsi="Times New Roman" w:cs="Times New Roman"/>
          <w:sz w:val="24"/>
          <w:szCs w:val="24"/>
        </w:rPr>
        <w:t>.</w:t>
      </w:r>
    </w:p>
    <w:p w14:paraId="1FDC581E" w14:textId="54AAD05F" w:rsidR="008E247C" w:rsidRPr="00711D2F" w:rsidRDefault="007703B5" w:rsidP="00917EEE">
      <w:pPr>
        <w:pStyle w:val="Prrafodelista"/>
        <w:numPr>
          <w:ilvl w:val="0"/>
          <w:numId w:val="11"/>
        </w:numPr>
        <w:spacing w:line="480" w:lineRule="auto"/>
        <w:ind w:left="714" w:hanging="357"/>
        <w:rPr>
          <w:rFonts w:ascii="Times New Roman" w:hAnsi="Times New Roman" w:cs="Times New Roman"/>
          <w:sz w:val="24"/>
          <w:szCs w:val="24"/>
        </w:rPr>
      </w:pPr>
      <w:r>
        <w:rPr>
          <w:rFonts w:ascii="Times New Roman" w:hAnsi="Times New Roman" w:cs="Times New Roman"/>
          <w:sz w:val="24"/>
          <w:szCs w:val="24"/>
        </w:rPr>
        <w:t>Surte efectos</w:t>
      </w:r>
      <w:r w:rsidR="00AB63DB" w:rsidRPr="00711D2F">
        <w:rPr>
          <w:rFonts w:ascii="Times New Roman" w:hAnsi="Times New Roman" w:cs="Times New Roman"/>
          <w:sz w:val="24"/>
          <w:szCs w:val="24"/>
        </w:rPr>
        <w:t xml:space="preserve"> desde el primer día del mes siguiente a aquel en que se efectuó el diligenciamiento del correspondiente formulario. </w:t>
      </w:r>
    </w:p>
    <w:p w14:paraId="31DBEFC2" w14:textId="77777777" w:rsidR="00917EEE" w:rsidRDefault="00AB63DB" w:rsidP="00917EEE">
      <w:pPr>
        <w:pStyle w:val="Prrafodelista"/>
        <w:numPr>
          <w:ilvl w:val="0"/>
          <w:numId w:val="11"/>
        </w:numPr>
        <w:spacing w:line="480" w:lineRule="auto"/>
        <w:ind w:left="714" w:hanging="357"/>
        <w:rPr>
          <w:rFonts w:ascii="Times New Roman" w:hAnsi="Times New Roman" w:cs="Times New Roman"/>
          <w:sz w:val="24"/>
          <w:szCs w:val="24"/>
        </w:rPr>
      </w:pPr>
      <w:r w:rsidRPr="00711D2F">
        <w:rPr>
          <w:rFonts w:ascii="Times New Roman" w:hAnsi="Times New Roman" w:cs="Times New Roman"/>
          <w:sz w:val="24"/>
          <w:szCs w:val="24"/>
        </w:rPr>
        <w:t xml:space="preserve">La afiliación al sistema general de pensiones es permanente e independiente del régimen que seleccione el afiliado. Dicha afiliación no se pierde por haber dejado de cotizar durante uno o varios periodos, pero podrá pasar a la categoría de afiliados inactivos, cuando tenga mas de seis meses de no pagos de cotizaciones. </w:t>
      </w:r>
    </w:p>
    <w:p w14:paraId="1DCB1AD1" w14:textId="1DAA8FE3" w:rsidR="008E247C" w:rsidRDefault="00AB63DB" w:rsidP="007703B5">
      <w:pPr>
        <w:pStyle w:val="Prrafodelista"/>
        <w:numPr>
          <w:ilvl w:val="0"/>
          <w:numId w:val="11"/>
        </w:numPr>
        <w:spacing w:line="480" w:lineRule="auto"/>
        <w:ind w:left="714" w:hanging="357"/>
        <w:rPr>
          <w:rFonts w:ascii="Times New Roman" w:hAnsi="Times New Roman" w:cs="Times New Roman"/>
          <w:sz w:val="24"/>
          <w:szCs w:val="24"/>
        </w:rPr>
      </w:pPr>
      <w:r w:rsidRPr="007703B5">
        <w:rPr>
          <w:rFonts w:ascii="Times New Roman" w:hAnsi="Times New Roman" w:cs="Times New Roman"/>
          <w:sz w:val="24"/>
          <w:szCs w:val="24"/>
        </w:rPr>
        <w:t>Colpensiones o los fondos</w:t>
      </w:r>
      <w:r w:rsidR="00310DA1" w:rsidRPr="007703B5">
        <w:rPr>
          <w:rFonts w:ascii="Times New Roman" w:hAnsi="Times New Roman" w:cs="Times New Roman"/>
          <w:sz w:val="24"/>
          <w:szCs w:val="24"/>
        </w:rPr>
        <w:t xml:space="preserve"> privados</w:t>
      </w:r>
      <w:r w:rsidRPr="007703B5">
        <w:rPr>
          <w:rFonts w:ascii="Times New Roman" w:hAnsi="Times New Roman" w:cs="Times New Roman"/>
          <w:sz w:val="24"/>
          <w:szCs w:val="24"/>
        </w:rPr>
        <w:t xml:space="preserve"> de pensiones no podrán negar la afiliación a quien desee ingresar al régimen, siempre y cuando garantice el pago de la cotización correspondiente. </w:t>
      </w:r>
    </w:p>
    <w:p w14:paraId="64AAAEF3" w14:textId="77777777" w:rsidR="00B61C6D" w:rsidRPr="00B61C6D" w:rsidRDefault="00715474" w:rsidP="00B61C6D">
      <w:pPr>
        <w:spacing w:line="480" w:lineRule="auto"/>
        <w:rPr>
          <w:b/>
        </w:rPr>
      </w:pPr>
      <w:bookmarkStart w:id="10" w:name="Traslado"/>
      <w:r w:rsidRPr="00B61C6D">
        <w:rPr>
          <w:b/>
        </w:rPr>
        <w:lastRenderedPageBreak/>
        <w:t>Sobre el Acto Jurídico de Traslado de Régimen</w:t>
      </w:r>
      <w:bookmarkEnd w:id="10"/>
    </w:p>
    <w:p w14:paraId="5D6B3E00" w14:textId="6F8FA210" w:rsidR="008E247C" w:rsidRPr="00B61C6D" w:rsidRDefault="00AB63DB" w:rsidP="00B6189E">
      <w:pPr>
        <w:pStyle w:val="Prrafodelista"/>
        <w:spacing w:line="480" w:lineRule="auto"/>
        <w:ind w:left="0" w:firstLine="709"/>
        <w:rPr>
          <w:rFonts w:ascii="Times New Roman" w:hAnsi="Times New Roman" w:cs="Times New Roman"/>
          <w:sz w:val="24"/>
          <w:szCs w:val="24"/>
        </w:rPr>
      </w:pPr>
      <w:r w:rsidRPr="00B61C6D">
        <w:rPr>
          <w:rFonts w:ascii="Times New Roman" w:hAnsi="Times New Roman" w:cs="Times New Roman"/>
          <w:sz w:val="24"/>
          <w:szCs w:val="24"/>
        </w:rPr>
        <w:t>El traslado es un acto jurídico mediante el cual un afiliado manifiesta su volu</w:t>
      </w:r>
      <w:r w:rsidR="00D7776E" w:rsidRPr="00B61C6D">
        <w:rPr>
          <w:rFonts w:ascii="Times New Roman" w:hAnsi="Times New Roman" w:cs="Times New Roman"/>
          <w:sz w:val="24"/>
          <w:szCs w:val="24"/>
        </w:rPr>
        <w:t>ntad de cambiarse de un fondo o</w:t>
      </w:r>
      <w:r w:rsidR="00711D2F" w:rsidRPr="00B61C6D">
        <w:rPr>
          <w:rFonts w:ascii="Times New Roman" w:hAnsi="Times New Roman" w:cs="Times New Roman"/>
          <w:sz w:val="24"/>
          <w:szCs w:val="24"/>
        </w:rPr>
        <w:t xml:space="preserve"> régimen pensional a otro</w:t>
      </w:r>
      <w:r w:rsidRPr="00B61C6D">
        <w:rPr>
          <w:rFonts w:ascii="Times New Roman" w:hAnsi="Times New Roman" w:cs="Times New Roman"/>
          <w:sz w:val="24"/>
          <w:szCs w:val="24"/>
        </w:rPr>
        <w:t>. En el caso del Sistema General de Pensiones, el literal e) del artículo 13 de la ley 100 de 1993 señala lo siguiente:</w:t>
      </w:r>
    </w:p>
    <w:p w14:paraId="26B341F7" w14:textId="399F85D3" w:rsidR="008E247C" w:rsidRDefault="00AB63DB" w:rsidP="00F4640C">
      <w:pPr>
        <w:spacing w:line="480" w:lineRule="auto"/>
        <w:ind w:left="720"/>
      </w:pPr>
      <w:r w:rsidRPr="00715474">
        <w:t>Los afiliados al Sistema General de Pensiones podrán escoger el régimen de pensiones que prefieran. Una vez efectuada la selección inicial, estos sólo podrán trasladarse de régimen por una sola vez cada cinco (5) años, contados a partir de la selección inicial. Después de un (1) año de la vigencia de la presente ley, el afiliado no podrá trasladarse de régimen cuando le faltaren diez (10) años o menos para cumplir la edad para tene</w:t>
      </w:r>
      <w:r w:rsidR="00715474">
        <w:t>r derecho a la pensión de vejez</w:t>
      </w:r>
      <w:r w:rsidRPr="00715474">
        <w:t>.</w:t>
      </w:r>
    </w:p>
    <w:p w14:paraId="23D16AC6" w14:textId="45F67B18" w:rsidR="00AB63DB" w:rsidRPr="00AB63DB" w:rsidRDefault="00AB63DB" w:rsidP="00F70150">
      <w:pPr>
        <w:spacing w:line="480" w:lineRule="auto"/>
        <w:ind w:firstLine="709"/>
      </w:pPr>
      <w:r w:rsidRPr="00AB63DB">
        <w:t>Este traslado debe ser libre y espontáneo, tal y como lo preceptúa el literal b) del artículo 13 y los artículos 114 y 271 de la ley 100 de 1993.</w:t>
      </w:r>
    </w:p>
    <w:p w14:paraId="1454A3F0" w14:textId="1103257D" w:rsidR="00AB63DB" w:rsidRPr="00AB63DB" w:rsidRDefault="00630CB9" w:rsidP="00F70150">
      <w:pPr>
        <w:spacing w:line="480" w:lineRule="auto"/>
        <w:ind w:firstLine="709"/>
      </w:pPr>
      <w:r>
        <w:t>De otro lado, f</w:t>
      </w:r>
      <w:r w:rsidR="00AB63DB" w:rsidRPr="00AB63DB">
        <w:t xml:space="preserve">rente al acto </w:t>
      </w:r>
      <w:r w:rsidR="003D33DB">
        <w:t>jurídico de traslado de régimen</w:t>
      </w:r>
      <w:r w:rsidR="00AB63DB" w:rsidRPr="00AB63DB">
        <w:t xml:space="preserve"> se ha indicado lo siguiente</w:t>
      </w:r>
      <w:r w:rsidR="003D33DB">
        <w:t xml:space="preserve"> (Legis, 2018)</w:t>
      </w:r>
      <w:r w:rsidR="00AB63DB" w:rsidRPr="00AB63DB">
        <w:t xml:space="preserve">: </w:t>
      </w:r>
    </w:p>
    <w:p w14:paraId="6CD70899" w14:textId="176D15F2" w:rsidR="00667E1C" w:rsidRDefault="00AB63DB" w:rsidP="00667E1C">
      <w:pPr>
        <w:pStyle w:val="NormalWeb"/>
        <w:numPr>
          <w:ilvl w:val="0"/>
          <w:numId w:val="37"/>
        </w:numPr>
        <w:spacing w:before="0" w:beforeAutospacing="0" w:after="0" w:afterAutospacing="0" w:line="480" w:lineRule="auto"/>
        <w:ind w:left="1080"/>
        <w:textAlignment w:val="baseline"/>
        <w:rPr>
          <w:color w:val="000000"/>
        </w:rPr>
      </w:pPr>
      <w:r w:rsidRPr="00AB63DB">
        <w:t>De acuerdo con la ley 797 del 2003, que rige a partir de enero 29, Los afiliados al sistema general de pensiones podrían escoger el régimen de pensiones que prefieran y sólo podrán trasladarse de régimen por una sola vez cada cinco años. Sin embargo, despu</w:t>
      </w:r>
      <w:r w:rsidR="00D52691">
        <w:t>é</w:t>
      </w:r>
      <w:r w:rsidRPr="00AB63DB">
        <w:t xml:space="preserve">s de un año de la vigencia de dicha ley, el afiliado no podrá trasladarse de régimen cuando le faltaren diez años o menos para cumplir la edad para tener derecho a la pensión de vejez. </w:t>
      </w:r>
      <w:r w:rsidR="00555150">
        <w:t>L</w:t>
      </w:r>
      <w:r w:rsidR="00667E1C">
        <w:rPr>
          <w:color w:val="000000"/>
        </w:rPr>
        <w:t xml:space="preserve">as personas que reúnen las condiciones del régimen de transición </w:t>
      </w:r>
      <w:r w:rsidR="00667E1C">
        <w:rPr>
          <w:color w:val="000000"/>
        </w:rPr>
        <w:lastRenderedPageBreak/>
        <w:t>previsto en el artículo 36 de la ley 100 de 1993 y que habiéndose trasladado al régimen de ahorro individual con solidaridad, no se haya</w:t>
      </w:r>
      <w:r w:rsidR="00C501E9">
        <w:rPr>
          <w:color w:val="000000"/>
        </w:rPr>
        <w:t>n</w:t>
      </w:r>
      <w:r w:rsidR="00667E1C">
        <w:rPr>
          <w:color w:val="000000"/>
        </w:rPr>
        <w:t xml:space="preserve"> regresado al RPM, pueden regresar a este en cualquier tiempo, solo sí, para la entrada en vigencia del sistema pensional de la Ley 100/93, esto es, el primero (1) de Abril de 1994 o el </w:t>
      </w:r>
      <w:r w:rsidR="00C501E9">
        <w:rPr>
          <w:color w:val="000000"/>
        </w:rPr>
        <w:t xml:space="preserve">treinta </w:t>
      </w:r>
      <w:r w:rsidR="00667E1C">
        <w:rPr>
          <w:color w:val="000000"/>
        </w:rPr>
        <w:t>(30) de Junio de 1995 (dependiendo del caso), ya tenían 15 años de servicios o 750 semanas de cotización</w:t>
      </w:r>
      <w:r w:rsidR="00667E1C">
        <w:rPr>
          <w:color w:val="000000"/>
          <w:sz w:val="20"/>
          <w:szCs w:val="20"/>
        </w:rPr>
        <w:t xml:space="preserve"> </w:t>
      </w:r>
      <w:r w:rsidR="00667E1C">
        <w:rPr>
          <w:color w:val="000000"/>
        </w:rPr>
        <w:t>conforme a los términos señalados en la sentencia C-789 de 2002. </w:t>
      </w:r>
    </w:p>
    <w:p w14:paraId="0D24FB99" w14:textId="77777777" w:rsidR="00667E1C" w:rsidRPr="00667E1C" w:rsidRDefault="00667E1C" w:rsidP="00667E1C">
      <w:pPr>
        <w:pStyle w:val="NormalWeb"/>
        <w:numPr>
          <w:ilvl w:val="0"/>
          <w:numId w:val="37"/>
        </w:numPr>
        <w:spacing w:before="0" w:beforeAutospacing="0" w:after="0" w:afterAutospacing="0" w:line="480" w:lineRule="auto"/>
        <w:ind w:left="1080"/>
        <w:textAlignment w:val="baseline"/>
        <w:rPr>
          <w:color w:val="000000"/>
        </w:rPr>
      </w:pPr>
      <w:r w:rsidRPr="00667E1C">
        <w:rPr>
          <w:rFonts w:eastAsia="Times New Roman"/>
          <w:color w:val="000000"/>
        </w:rPr>
        <w:t xml:space="preserve">Si el traslado es del RPM hacia el RAIS, el efecto es el cambio de condiciones para acceder a la pensión de vejez y una vez efectuado se reconoce el bono pensional para la convalidación de las semanas cotizadas en el RPM . </w:t>
      </w:r>
    </w:p>
    <w:p w14:paraId="0E329EFD" w14:textId="0F726F96" w:rsidR="00667E1C" w:rsidRPr="00667E1C" w:rsidRDefault="00667E1C" w:rsidP="00667E1C">
      <w:pPr>
        <w:pStyle w:val="NormalWeb"/>
        <w:numPr>
          <w:ilvl w:val="0"/>
          <w:numId w:val="37"/>
        </w:numPr>
        <w:spacing w:before="0" w:beforeAutospacing="0" w:after="0" w:afterAutospacing="0" w:line="480" w:lineRule="auto"/>
        <w:ind w:left="1080"/>
        <w:textAlignment w:val="baseline"/>
        <w:rPr>
          <w:color w:val="000000"/>
        </w:rPr>
      </w:pPr>
      <w:r w:rsidRPr="00667E1C">
        <w:rPr>
          <w:rFonts w:eastAsia="Times New Roman"/>
          <w:color w:val="000000"/>
        </w:rPr>
        <w:t xml:space="preserve">Si el traslado es del RAIS hacia el RPM, el efecto </w:t>
      </w:r>
      <w:r w:rsidR="00C501E9">
        <w:rPr>
          <w:rFonts w:eastAsia="Times New Roman"/>
          <w:color w:val="000000"/>
        </w:rPr>
        <w:t xml:space="preserve">es </w:t>
      </w:r>
      <w:r w:rsidRPr="00667E1C">
        <w:rPr>
          <w:rFonts w:eastAsia="Times New Roman"/>
          <w:color w:val="000000"/>
        </w:rPr>
        <w:t xml:space="preserve">que cambian las condiciones para acceder a la pensión de vejez, </w:t>
      </w:r>
      <w:r w:rsidR="00C501E9">
        <w:rPr>
          <w:rFonts w:eastAsia="Times New Roman"/>
          <w:color w:val="000000"/>
        </w:rPr>
        <w:t>debiendo trasladar el fondo privado hacia Colpensiones los valores de la cuenta pensional (aportes y rendimientos); deberá trasladar también comisiones y gastos de administración, si se lo ordena un juez al declarar la ineficacia o nulidad de la afiliación.</w:t>
      </w:r>
      <w:r w:rsidRPr="00667E1C">
        <w:rPr>
          <w:rFonts w:eastAsia="Times New Roman"/>
          <w:color w:val="000000"/>
        </w:rPr>
        <w:t xml:space="preserve"> </w:t>
      </w:r>
    </w:p>
    <w:p w14:paraId="3581CCD8" w14:textId="77777777" w:rsidR="00A8717D" w:rsidRPr="00A8717D" w:rsidRDefault="00AB63DB" w:rsidP="00A8717D">
      <w:pPr>
        <w:pStyle w:val="NormalWeb"/>
        <w:numPr>
          <w:ilvl w:val="0"/>
          <w:numId w:val="37"/>
        </w:numPr>
        <w:spacing w:before="0" w:beforeAutospacing="0" w:after="0" w:afterAutospacing="0" w:line="480" w:lineRule="auto"/>
        <w:ind w:left="1080"/>
        <w:textAlignment w:val="baseline"/>
        <w:rPr>
          <w:color w:val="000000"/>
        </w:rPr>
      </w:pPr>
      <w:r w:rsidRPr="00667E1C">
        <w:t>Por razón de la selección procede el traslado de los recursos a la administradora de pensiones seleccionada. En los casos en los que se haya presentado una múltiple afiliaci</w:t>
      </w:r>
      <w:r w:rsidR="00906A8C" w:rsidRPr="00667E1C">
        <w:t>ó</w:t>
      </w:r>
      <w:r w:rsidRPr="00667E1C">
        <w:t xml:space="preserve">n de régimen o de administradora se procederá de la siguiente manera: 1) si el traslado </w:t>
      </w:r>
      <w:r w:rsidR="00906A8C" w:rsidRPr="00667E1C">
        <w:t>s</w:t>
      </w:r>
      <w:r w:rsidRPr="00667E1C">
        <w:t xml:space="preserve">e produce desde una administradora del régimen de ahorro individual con solidaridad a otra o a </w:t>
      </w:r>
      <w:r w:rsidR="00F456C8" w:rsidRPr="00667E1C">
        <w:t>C</w:t>
      </w:r>
      <w:r w:rsidRPr="00667E1C">
        <w:t xml:space="preserve">olpensiones, se deberá trasladar el valor acumulado en la cuenta de </w:t>
      </w:r>
      <w:r w:rsidRPr="00667E1C">
        <w:lastRenderedPageBreak/>
        <w:t xml:space="preserve">ahorro individual del afiliado; 2) si el traslado se produce desde Colpensiones a una administradora del régimen de ahorro individual con solidaridad, se trasladará el monto de las cotizaciones correspondientes al riesgo de vejez, efectuadas a partir de la fecha de su primera vinculación al régimen de ahorro individual con solidaridad, sin perjuicio de la emisión del Bono a que hubiere lugar por tiempos anteriores a dicha fecha. Las cotizaciones que se trasladen serán actualizadas con una tasa equivalente al rendimiento generado por las reservas de vejez de Colpensiones, certificado por la Superintendencia Financiera de Colombia. </w:t>
      </w:r>
    </w:p>
    <w:p w14:paraId="49F36424" w14:textId="4F9C5090" w:rsidR="00CA49A5" w:rsidRPr="00A8717D" w:rsidRDefault="00CA49A5" w:rsidP="00A8717D">
      <w:pPr>
        <w:pStyle w:val="NormalWeb"/>
        <w:numPr>
          <w:ilvl w:val="0"/>
          <w:numId w:val="37"/>
        </w:numPr>
        <w:spacing w:before="0" w:beforeAutospacing="0" w:after="0" w:afterAutospacing="0" w:line="480" w:lineRule="auto"/>
        <w:ind w:left="1080"/>
        <w:textAlignment w:val="baseline"/>
        <w:rPr>
          <w:color w:val="000000"/>
        </w:rPr>
      </w:pPr>
      <w:r w:rsidRPr="00A8717D">
        <w:t>Otro de los efectos del traslado es la nulidad o la ineficacia del mismo cuando ha habido engaño de las administradoras al no suministrar información veraz y suficiente.</w:t>
      </w:r>
    </w:p>
    <w:p w14:paraId="652EB320" w14:textId="77777777" w:rsidR="00816812" w:rsidRPr="00545A4A" w:rsidRDefault="00816812" w:rsidP="00816812">
      <w:pPr>
        <w:pStyle w:val="Prrafodelista"/>
        <w:spacing w:line="480" w:lineRule="auto"/>
        <w:ind w:left="709"/>
        <w:rPr>
          <w:rFonts w:ascii="Times New Roman" w:hAnsi="Times New Roman" w:cs="Times New Roman"/>
          <w:sz w:val="24"/>
          <w:szCs w:val="24"/>
        </w:rPr>
      </w:pPr>
    </w:p>
    <w:p w14:paraId="4AFCDE06" w14:textId="3A034617" w:rsidR="00AB63DB" w:rsidRPr="00AB63DB" w:rsidRDefault="003D33DB" w:rsidP="00F70150">
      <w:pPr>
        <w:spacing w:line="480" w:lineRule="auto"/>
        <w:rPr>
          <w:b/>
        </w:rPr>
      </w:pPr>
      <w:bookmarkStart w:id="11" w:name="Ineficacia"/>
      <w:r>
        <w:rPr>
          <w:b/>
        </w:rPr>
        <w:t>Sobre l</w:t>
      </w:r>
      <w:r w:rsidR="00256C39">
        <w:rPr>
          <w:b/>
        </w:rPr>
        <w:t>a ineficacia del traslado</w:t>
      </w:r>
    </w:p>
    <w:bookmarkEnd w:id="11"/>
    <w:p w14:paraId="29A3DA85" w14:textId="5A493B49" w:rsidR="00AB63DB" w:rsidRPr="00AB63DB" w:rsidRDefault="00AB63DB" w:rsidP="00A02E83">
      <w:pPr>
        <w:spacing w:line="480" w:lineRule="auto"/>
        <w:ind w:firstLine="709"/>
      </w:pPr>
      <w:r w:rsidRPr="00AB63DB">
        <w:t>Según el doctrinante Fernando Alarcón Rojas “la ineficacia es una sanción que enerva o esteriliza el acto, porque, por disposición se priva al negocio de los efectos que tendría que producir. Es de creación del derecho mercantil y debe ser la consecuencia para la ausencia de los elementos estructurales del negocio jurídico, esto es, para la ausencia del consentimiento, del objeto, de la causa, de los elementos esenciales, de la solemnidad constitutiva y de la e</w:t>
      </w:r>
      <w:r w:rsidR="003D33DB">
        <w:t xml:space="preserve">ntrega en los negocios reales” </w:t>
      </w:r>
      <w:r w:rsidR="00A02E83">
        <w:t>(</w:t>
      </w:r>
      <w:r w:rsidR="003D33DB">
        <w:t>2011).</w:t>
      </w:r>
      <w:r w:rsidRPr="00AB63DB">
        <w:t xml:space="preserve"> </w:t>
      </w:r>
    </w:p>
    <w:p w14:paraId="2F712DCD" w14:textId="77777777" w:rsidR="00A02E83" w:rsidRDefault="00AB63DB" w:rsidP="00A02E83">
      <w:pPr>
        <w:spacing w:line="480" w:lineRule="auto"/>
        <w:ind w:firstLine="709"/>
      </w:pPr>
      <w:r w:rsidRPr="00AB63DB">
        <w:lastRenderedPageBreak/>
        <w:t xml:space="preserve">Se considera relevante hacer unas precisiones frente a la ineficacia </w:t>
      </w:r>
      <w:r w:rsidR="00256C39">
        <w:t>del traslado</w:t>
      </w:r>
      <w:r w:rsidRPr="00AB63DB">
        <w:t xml:space="preserve">, resaltando que tiene dos puntos de vista los cuales son la ineficacia en sentido amplio y la ineficacia en sentido estricto, que se expondrán a continuación para tener una claridad frente a dicha acción. </w:t>
      </w:r>
    </w:p>
    <w:p w14:paraId="4C157430" w14:textId="342F8936" w:rsidR="00AB63DB" w:rsidRPr="00AB63DB" w:rsidRDefault="00AB63DB" w:rsidP="00A02E83">
      <w:pPr>
        <w:spacing w:line="480" w:lineRule="auto"/>
        <w:ind w:firstLine="709"/>
        <w:rPr>
          <w:bCs/>
        </w:rPr>
      </w:pPr>
      <w:r w:rsidRPr="00A02E83">
        <w:rPr>
          <w:bCs/>
        </w:rPr>
        <w:t>De acuerdo a lo previsto en la Doctrina y la Jurisprudencia de la Corte Suprema de Justicia</w:t>
      </w:r>
      <w:r w:rsidR="002A69FB">
        <w:rPr>
          <w:bCs/>
        </w:rPr>
        <w:t xml:space="preserve"> (sentencia</w:t>
      </w:r>
      <w:r w:rsidRPr="00A02E83">
        <w:rPr>
          <w:bCs/>
        </w:rPr>
        <w:t xml:space="preserve"> </w:t>
      </w:r>
      <w:r w:rsidRPr="00A02E83">
        <w:rPr>
          <w:kern w:val="28"/>
        </w:rPr>
        <w:t>SC9184-2017</w:t>
      </w:r>
      <w:r w:rsidR="002A69FB">
        <w:rPr>
          <w:kern w:val="28"/>
        </w:rPr>
        <w:t>)</w:t>
      </w:r>
      <w:r w:rsidRPr="00A02E83">
        <w:rPr>
          <w:kern w:val="28"/>
        </w:rPr>
        <w:t xml:space="preserve"> </w:t>
      </w:r>
      <w:r w:rsidRPr="00A02E83">
        <w:rPr>
          <w:bCs/>
        </w:rPr>
        <w:t>y de la Corte Constitucional en la sentencia C 345 de 2017,</w:t>
      </w:r>
      <w:r w:rsidRPr="00AB63DB">
        <w:rPr>
          <w:bCs/>
        </w:rPr>
        <w:t xml:space="preserve"> </w:t>
      </w:r>
      <w:r w:rsidRPr="00AB63DB">
        <w:rPr>
          <w:bCs/>
          <w:lang w:val="es-CO"/>
        </w:rPr>
        <w:t xml:space="preserve">bajo el concepto de </w:t>
      </w:r>
      <w:r w:rsidR="003D33DB">
        <w:rPr>
          <w:b/>
          <w:bCs/>
          <w:u w:val="single"/>
          <w:lang w:val="es-CO"/>
        </w:rPr>
        <w:t>I</w:t>
      </w:r>
      <w:r w:rsidRPr="003D33DB">
        <w:rPr>
          <w:b/>
          <w:bCs/>
          <w:u w:val="single"/>
          <w:lang w:val="es-CO"/>
        </w:rPr>
        <w:t>neficacia en sentido amplio</w:t>
      </w:r>
      <w:r w:rsidRPr="00AB63DB">
        <w:rPr>
          <w:bCs/>
          <w:lang w:val="es-CO"/>
        </w:rPr>
        <w:t xml:space="preserve"> suelen agruparse diferentes reacciones del ordenamiento respecto de ciertas manifestaciones de la voluntad defectuosa u obstaculizada por diferentes causas. Dicha categoría general comprende entonces fenómenos tan diferentes como la inexistencia, la nulidad absoluta, la nulidad relativa, la ineficacia de pleno derecho y la inoponibilidad. </w:t>
      </w:r>
    </w:p>
    <w:p w14:paraId="6E172E73" w14:textId="750B2B71" w:rsidR="00AB63DB" w:rsidRDefault="00AB63DB" w:rsidP="00A02E83">
      <w:pPr>
        <w:spacing w:line="480" w:lineRule="auto"/>
        <w:ind w:firstLine="709"/>
        <w:rPr>
          <w:bCs/>
        </w:rPr>
      </w:pPr>
      <w:r w:rsidRPr="003D33DB">
        <w:rPr>
          <w:b/>
          <w:bCs/>
        </w:rPr>
        <w:t>La inexistencia</w:t>
      </w:r>
      <w:r w:rsidR="003D33DB">
        <w:rPr>
          <w:b/>
          <w:bCs/>
        </w:rPr>
        <w:t>.</w:t>
      </w:r>
      <w:r w:rsidR="003D33DB">
        <w:rPr>
          <w:bCs/>
        </w:rPr>
        <w:t xml:space="preserve"> S</w:t>
      </w:r>
      <w:r w:rsidRPr="003D33DB">
        <w:rPr>
          <w:bCs/>
        </w:rPr>
        <w:t xml:space="preserve">e produce en aquellos supuestos en los cuales los requisitos o condiciones de existencia de un acto jurídico no se configuran, tal y como ocurre, por ejemplo, cuando falta completamente la voluntad, cuando no concurre un elemento de la esencia de determinado acto, </w:t>
      </w:r>
      <w:r w:rsidRPr="003D33DB">
        <w:rPr>
          <w:b/>
          <w:bCs/>
        </w:rPr>
        <w:t xml:space="preserve">o cuando no se cumple un requisito o formalidad </w:t>
      </w:r>
      <w:r w:rsidRPr="00A02E83">
        <w:rPr>
          <w:b/>
          <w:bCs/>
        </w:rPr>
        <w:t xml:space="preserve">previsto (ad </w:t>
      </w:r>
      <w:proofErr w:type="spellStart"/>
      <w:r w:rsidRPr="00A02E83">
        <w:rPr>
          <w:b/>
          <w:bCs/>
        </w:rPr>
        <w:t>substantiam</w:t>
      </w:r>
      <w:proofErr w:type="spellEnd"/>
      <w:r w:rsidRPr="00A02E83">
        <w:rPr>
          <w:b/>
          <w:bCs/>
        </w:rPr>
        <w:t xml:space="preserve"> </w:t>
      </w:r>
      <w:proofErr w:type="spellStart"/>
      <w:r w:rsidRPr="00A02E83">
        <w:rPr>
          <w:b/>
          <w:bCs/>
        </w:rPr>
        <w:t>actus</w:t>
      </w:r>
      <w:proofErr w:type="spellEnd"/>
      <w:r w:rsidRPr="00A02E83">
        <w:rPr>
          <w:b/>
          <w:bCs/>
        </w:rPr>
        <w:t>)</w:t>
      </w:r>
      <w:r w:rsidRPr="003D33DB">
        <w:rPr>
          <w:b/>
          <w:bCs/>
        </w:rPr>
        <w:t xml:space="preserve"> </w:t>
      </w:r>
      <w:r w:rsidRPr="003D33DB">
        <w:rPr>
          <w:bCs/>
        </w:rPr>
        <w:t>en el ordenamiento para la existencia del acto o contrato.</w:t>
      </w:r>
    </w:p>
    <w:p w14:paraId="4FE289E6" w14:textId="488E82A4" w:rsidR="00AB63DB" w:rsidRPr="00AB63DB" w:rsidRDefault="00AB63DB" w:rsidP="00A02E83">
      <w:pPr>
        <w:spacing w:line="480" w:lineRule="auto"/>
        <w:ind w:firstLine="709"/>
      </w:pPr>
      <w:r w:rsidRPr="003D33DB">
        <w:rPr>
          <w:b/>
          <w:bCs/>
        </w:rPr>
        <w:t>La nulidad</w:t>
      </w:r>
      <w:r w:rsidR="003D33DB">
        <w:rPr>
          <w:b/>
          <w:bCs/>
        </w:rPr>
        <w:t>.</w:t>
      </w:r>
      <w:r w:rsidRPr="003D33DB">
        <w:rPr>
          <w:b/>
          <w:bCs/>
        </w:rPr>
        <w:t xml:space="preserve"> </w:t>
      </w:r>
      <w:r w:rsidR="003D33DB" w:rsidRPr="003D33DB">
        <w:rPr>
          <w:bCs/>
        </w:rPr>
        <w:t>En</w:t>
      </w:r>
      <w:r w:rsidRPr="003D33DB">
        <w:rPr>
          <w:bCs/>
        </w:rPr>
        <w:t xml:space="preserve"> cualquiera de sus variantes, es una sanción aplicable al negocio jurídico cuando se configura un defecto en las denominadas condiciones de validez, por ejemplo, la capacidad de los sujetos, el consentimiento exento de vicios (error, fuerza y dolo) o la licitud de la causa y del objeto (</w:t>
      </w:r>
      <w:r w:rsidRPr="003D33DB">
        <w:t>Artículo 1502 del Código Civil).</w:t>
      </w:r>
      <w:r w:rsidR="003D33DB">
        <w:t xml:space="preserve"> </w:t>
      </w:r>
      <w:r w:rsidR="003D33DB" w:rsidRPr="003D33DB">
        <w:t>E</w:t>
      </w:r>
      <w:r w:rsidRPr="003D33DB">
        <w:rPr>
          <w:bCs/>
        </w:rPr>
        <w:t>n materia de saneamiento</w:t>
      </w:r>
      <w:r w:rsidRPr="00AB63DB">
        <w:rPr>
          <w:bCs/>
        </w:rPr>
        <w:t xml:space="preserve">, la ley ha prescrito que en el caso de </w:t>
      </w:r>
      <w:r w:rsidRPr="00AB63DB">
        <w:rPr>
          <w:b/>
          <w:bCs/>
        </w:rPr>
        <w:t xml:space="preserve">nulidad absoluta </w:t>
      </w:r>
      <w:r w:rsidRPr="00AB63DB">
        <w:rPr>
          <w:bCs/>
        </w:rPr>
        <w:t xml:space="preserve">por causa u objeto ilícito es absolutamente improcedente su saneamiento y </w:t>
      </w:r>
      <w:r w:rsidRPr="00AB63DB">
        <w:rPr>
          <w:bCs/>
        </w:rPr>
        <w:lastRenderedPageBreak/>
        <w:t xml:space="preserve">que, en los demás casos, podría sanearse bien por ratificación de las partes o por la configuración de la prescripción extraordinaria (art. 1742 C.C.). </w:t>
      </w:r>
      <w:r w:rsidRPr="003D33DB">
        <w:rPr>
          <w:bCs/>
        </w:rPr>
        <w:t>Para el caso de la</w:t>
      </w:r>
      <w:r w:rsidRPr="00AB63DB">
        <w:rPr>
          <w:b/>
          <w:bCs/>
        </w:rPr>
        <w:t xml:space="preserve"> nulidad relativa,</w:t>
      </w:r>
      <w:r w:rsidRPr="00AB63DB">
        <w:rPr>
          <w:bCs/>
        </w:rPr>
        <w:t xml:space="preserve"> se ha previsto que ella puede sanearse por su ratificación o por el lapso o paso del tiempo (art. 1743 C.C.). </w:t>
      </w:r>
    </w:p>
    <w:p w14:paraId="438864A7" w14:textId="77777777" w:rsidR="00A02E83" w:rsidRDefault="00AB63DB" w:rsidP="00A02E83">
      <w:pPr>
        <w:pStyle w:val="Prrafodelista"/>
        <w:pBdr>
          <w:top w:val="nil"/>
          <w:left w:val="nil"/>
          <w:bottom w:val="nil"/>
          <w:right w:val="nil"/>
          <w:between w:val="nil"/>
        </w:pBdr>
        <w:spacing w:line="480" w:lineRule="auto"/>
        <w:ind w:left="0" w:firstLine="709"/>
        <w:rPr>
          <w:rFonts w:ascii="Times New Roman" w:hAnsi="Times New Roman" w:cs="Times New Roman"/>
          <w:bCs/>
          <w:sz w:val="24"/>
          <w:szCs w:val="24"/>
        </w:rPr>
      </w:pPr>
      <w:r w:rsidRPr="00AB63DB">
        <w:rPr>
          <w:rFonts w:ascii="Times New Roman" w:hAnsi="Times New Roman" w:cs="Times New Roman"/>
          <w:bCs/>
          <w:sz w:val="24"/>
          <w:szCs w:val="24"/>
        </w:rPr>
        <w:t xml:space="preserve">De otro lado, la </w:t>
      </w:r>
      <w:r w:rsidR="005F6CD4">
        <w:rPr>
          <w:rFonts w:ascii="Times New Roman" w:hAnsi="Times New Roman" w:cs="Times New Roman"/>
          <w:b/>
          <w:bCs/>
          <w:sz w:val="24"/>
          <w:szCs w:val="24"/>
          <w:u w:val="single"/>
        </w:rPr>
        <w:t>I</w:t>
      </w:r>
      <w:r w:rsidRPr="005F6CD4">
        <w:rPr>
          <w:rFonts w:ascii="Times New Roman" w:hAnsi="Times New Roman" w:cs="Times New Roman"/>
          <w:b/>
          <w:bCs/>
          <w:sz w:val="24"/>
          <w:szCs w:val="24"/>
          <w:u w:val="single"/>
        </w:rPr>
        <w:t>neficacia en sentido estricto</w:t>
      </w:r>
      <w:r w:rsidRPr="00AB63DB">
        <w:rPr>
          <w:rFonts w:ascii="Times New Roman" w:hAnsi="Times New Roman" w:cs="Times New Roman"/>
          <w:bCs/>
          <w:sz w:val="24"/>
          <w:szCs w:val="24"/>
        </w:rPr>
        <w:t xml:space="preserve"> se presenta en aquellos casos en los cuales la ley, por razones de diferente naturaleza, ha previsto que el acto no debe producir efectos de ninguna naturaleza. </w:t>
      </w:r>
    </w:p>
    <w:p w14:paraId="5FB44DF7" w14:textId="18C095B6" w:rsidR="00AB63DB" w:rsidRPr="00A02E83" w:rsidRDefault="00AB63DB" w:rsidP="00A02E83">
      <w:pPr>
        <w:pStyle w:val="Prrafodelista"/>
        <w:pBdr>
          <w:top w:val="nil"/>
          <w:left w:val="nil"/>
          <w:bottom w:val="nil"/>
          <w:right w:val="nil"/>
          <w:between w:val="nil"/>
        </w:pBdr>
        <w:spacing w:line="480" w:lineRule="auto"/>
        <w:ind w:left="0" w:firstLine="709"/>
        <w:rPr>
          <w:rFonts w:ascii="Times New Roman" w:hAnsi="Times New Roman" w:cs="Times New Roman"/>
          <w:bCs/>
          <w:sz w:val="24"/>
          <w:szCs w:val="24"/>
        </w:rPr>
      </w:pPr>
      <w:r w:rsidRPr="00A02E83">
        <w:rPr>
          <w:rFonts w:ascii="Times New Roman" w:hAnsi="Times New Roman" w:cs="Times New Roman"/>
          <w:bCs/>
          <w:sz w:val="24"/>
          <w:szCs w:val="24"/>
        </w:rPr>
        <w:t xml:space="preserve">Los supuestos de hecho que configuran la pretensión de ineficacia del traslado </w:t>
      </w:r>
      <w:r w:rsidR="002A69FB">
        <w:rPr>
          <w:rFonts w:ascii="Times New Roman" w:hAnsi="Times New Roman" w:cs="Times New Roman"/>
          <w:bCs/>
          <w:sz w:val="24"/>
          <w:szCs w:val="24"/>
        </w:rPr>
        <w:t xml:space="preserve">de régimen pensional </w:t>
      </w:r>
      <w:r w:rsidRPr="00A02E83">
        <w:rPr>
          <w:rFonts w:ascii="Times New Roman" w:hAnsi="Times New Roman" w:cs="Times New Roman"/>
          <w:bCs/>
          <w:sz w:val="24"/>
          <w:szCs w:val="24"/>
        </w:rPr>
        <w:t xml:space="preserve">se encuentran </w:t>
      </w:r>
      <w:r w:rsidR="002A69FB">
        <w:rPr>
          <w:rFonts w:ascii="Times New Roman" w:hAnsi="Times New Roman" w:cs="Times New Roman"/>
          <w:bCs/>
          <w:sz w:val="24"/>
          <w:szCs w:val="24"/>
        </w:rPr>
        <w:t xml:space="preserve">en </w:t>
      </w:r>
      <w:r w:rsidRPr="00A02E83">
        <w:rPr>
          <w:rFonts w:ascii="Times New Roman" w:hAnsi="Times New Roman" w:cs="Times New Roman"/>
          <w:bCs/>
          <w:sz w:val="24"/>
          <w:szCs w:val="24"/>
        </w:rPr>
        <w:t xml:space="preserve">el literal b) del artículo 13 y </w:t>
      </w:r>
      <w:r w:rsidR="002A69FB">
        <w:rPr>
          <w:rFonts w:ascii="Times New Roman" w:hAnsi="Times New Roman" w:cs="Times New Roman"/>
          <w:bCs/>
          <w:sz w:val="24"/>
          <w:szCs w:val="24"/>
        </w:rPr>
        <w:t xml:space="preserve">en </w:t>
      </w:r>
      <w:r w:rsidRPr="00A02E83">
        <w:rPr>
          <w:rFonts w:ascii="Times New Roman" w:hAnsi="Times New Roman" w:cs="Times New Roman"/>
          <w:bCs/>
          <w:sz w:val="24"/>
          <w:szCs w:val="24"/>
        </w:rPr>
        <w:t>el artículo 271 de la ley 100 de 1993, así:</w:t>
      </w:r>
    </w:p>
    <w:p w14:paraId="1AA7CBFC" w14:textId="1CCDCDB5" w:rsidR="00AB63DB" w:rsidRPr="005F6CD4" w:rsidRDefault="002A69FB" w:rsidP="00A02E83">
      <w:pPr>
        <w:spacing w:line="480" w:lineRule="auto"/>
        <w:ind w:left="709"/>
      </w:pPr>
      <w:r>
        <w:t>“</w:t>
      </w:r>
      <w:r w:rsidR="00AB63DB" w:rsidRPr="005F6CD4">
        <w:t>ARTÍCULO 13. CARACTERÍSTICAS DEL SISTEMA GENERAL DE PENSIONES. El Sistema General de Pensiones tendrá las siguientes características:</w:t>
      </w:r>
    </w:p>
    <w:p w14:paraId="406D760A" w14:textId="77777777" w:rsidR="00AB63DB" w:rsidRPr="005F6CD4" w:rsidRDefault="00AB63DB" w:rsidP="00A02E83">
      <w:pPr>
        <w:spacing w:line="480" w:lineRule="auto"/>
        <w:ind w:left="709"/>
      </w:pPr>
      <w:r w:rsidRPr="005F6CD4">
        <w:t>(…)</w:t>
      </w:r>
    </w:p>
    <w:p w14:paraId="425626B0" w14:textId="2288F133" w:rsidR="00AB63DB" w:rsidRPr="005F6CD4" w:rsidRDefault="00AB63DB" w:rsidP="00A02E83">
      <w:pPr>
        <w:spacing w:line="480" w:lineRule="auto"/>
        <w:ind w:left="709"/>
      </w:pPr>
      <w:r w:rsidRPr="005F6CD4">
        <w:t>b. La selección de uno cualquiera de los regímenes previstos por el artículo anterior es libre y voluntaria por parte del afiliado, quien para tal efecto manifestará por escrito su elección al momento de la vinculación o del traslado. El empleador o cualquier persona natural o jurídica que desconozca este derecho en cualquier forma, se hará acreedor a las sanciones de que trata el inciso 1o. del artículo 271 de la presente ley.</w:t>
      </w:r>
    </w:p>
    <w:p w14:paraId="5524C85E" w14:textId="69B0AC04" w:rsidR="00AB63DB" w:rsidRPr="005F6CD4" w:rsidRDefault="00AB63DB" w:rsidP="00A02E83">
      <w:pPr>
        <w:spacing w:line="480" w:lineRule="auto"/>
        <w:ind w:left="709"/>
      </w:pPr>
      <w:r w:rsidRPr="005F6CD4">
        <w:t xml:space="preserve">ARTÍCULO 271. SANCIONES PARA EL EMPLEADOR. El empleador, y en general cualquier persona natural o jurídica que impida o atente en cualquier forma contra el derecho del trabajador a su afiliación y selección de </w:t>
      </w:r>
      <w:r w:rsidRPr="005F6CD4">
        <w:lastRenderedPageBreak/>
        <w:t>organismos e instituciones del Sistema de Seguridad Social Integral se hará acreedor, en cada caso y por cada afiliado, a una multa impuesta por las autoridades del Ministerio de Trabajo y Seguridad Social o del Ministerio de Salud en cada caso, que no podrá ser inferior a un salario mínimo mensual vigente ni exceder cincuenta veces dicho salario. El valor de estas multas se destinará al Fondo de Solidaridad Pensional o a la subcuenta de solidaridad del Fondo de Solidaridad y Garantía del Sistema General de Seguridad Social en Salud, respectivamente. La afiliación respectiva quedará sin efecto y podrá realizarse nuevamente en forma libre y espontánea por parte del trabajador. El Gobierno Nacional reglamentará los mecanismos para el control del pago de cotizaciones de los trabajadores migrantes o estacionales, con contrato a término fijo o con contra</w:t>
      </w:r>
      <w:r w:rsidR="005F6CD4">
        <w:t>to por prestación de servicios.</w:t>
      </w:r>
      <w:r w:rsidR="002A69FB">
        <w:t>”</w:t>
      </w:r>
    </w:p>
    <w:p w14:paraId="2FEFB4B3" w14:textId="359B742B" w:rsidR="00AB63DB" w:rsidRPr="00A02E83" w:rsidRDefault="00AB63DB" w:rsidP="00F70150">
      <w:pPr>
        <w:pStyle w:val="Prrafodelista"/>
        <w:pBdr>
          <w:top w:val="nil"/>
          <w:left w:val="nil"/>
          <w:bottom w:val="nil"/>
          <w:right w:val="nil"/>
          <w:between w:val="nil"/>
        </w:pBdr>
        <w:spacing w:line="480" w:lineRule="auto"/>
        <w:ind w:left="0" w:firstLine="709"/>
        <w:rPr>
          <w:rFonts w:ascii="Times New Roman" w:hAnsi="Times New Roman" w:cs="Times New Roman"/>
          <w:bCs/>
          <w:sz w:val="24"/>
          <w:szCs w:val="24"/>
        </w:rPr>
      </w:pPr>
      <w:r w:rsidRPr="00A02E83">
        <w:rPr>
          <w:rFonts w:ascii="Times New Roman" w:hAnsi="Times New Roman" w:cs="Times New Roman"/>
          <w:bCs/>
          <w:sz w:val="24"/>
          <w:szCs w:val="24"/>
        </w:rPr>
        <w:t>Siendo así las cosas, cuando hay una omisión al deber de información por parte de la AFP al momento del acto jurídico de afiliaci</w:t>
      </w:r>
      <w:r w:rsidR="00FC6BF4">
        <w:rPr>
          <w:rFonts w:ascii="Times New Roman" w:hAnsi="Times New Roman" w:cs="Times New Roman"/>
          <w:bCs/>
          <w:sz w:val="24"/>
          <w:szCs w:val="24"/>
        </w:rPr>
        <w:t>ó</w:t>
      </w:r>
      <w:r w:rsidRPr="00A02E83">
        <w:rPr>
          <w:rFonts w:ascii="Times New Roman" w:hAnsi="Times New Roman" w:cs="Times New Roman"/>
          <w:bCs/>
          <w:sz w:val="24"/>
          <w:szCs w:val="24"/>
        </w:rPr>
        <w:t xml:space="preserve">n o traslado </w:t>
      </w:r>
      <w:r w:rsidR="00FC6BF4">
        <w:rPr>
          <w:rFonts w:ascii="Times New Roman" w:hAnsi="Times New Roman" w:cs="Times New Roman"/>
          <w:bCs/>
          <w:sz w:val="24"/>
          <w:szCs w:val="24"/>
        </w:rPr>
        <w:t>de régimen pensional, se declara la</w:t>
      </w:r>
      <w:r w:rsidRPr="00A02E83">
        <w:rPr>
          <w:rFonts w:ascii="Times New Roman" w:hAnsi="Times New Roman" w:cs="Times New Roman"/>
          <w:bCs/>
          <w:sz w:val="24"/>
          <w:szCs w:val="24"/>
        </w:rPr>
        <w:t xml:space="preserve"> INEFICACIA del acto de traslado, por así disponerlo de manera expresa los artículos 271 y 13 literal b) de la Ley 100 de 1993</w:t>
      </w:r>
      <w:r w:rsidR="00FC6BF4">
        <w:rPr>
          <w:rFonts w:ascii="Times New Roman" w:hAnsi="Times New Roman" w:cs="Times New Roman"/>
          <w:bCs/>
          <w:sz w:val="24"/>
          <w:szCs w:val="24"/>
        </w:rPr>
        <w:t>;</w:t>
      </w:r>
      <w:r w:rsidRPr="00A02E83">
        <w:rPr>
          <w:rFonts w:ascii="Times New Roman" w:hAnsi="Times New Roman" w:cs="Times New Roman"/>
          <w:bCs/>
          <w:sz w:val="24"/>
          <w:szCs w:val="24"/>
        </w:rPr>
        <w:t xml:space="preserve"> se resalta</w:t>
      </w:r>
      <w:r w:rsidRPr="00AB63DB">
        <w:rPr>
          <w:rFonts w:ascii="Times New Roman" w:hAnsi="Times New Roman" w:cs="Times New Roman"/>
          <w:bCs/>
          <w:sz w:val="24"/>
          <w:szCs w:val="24"/>
        </w:rPr>
        <w:t xml:space="preserve"> que </w:t>
      </w:r>
      <w:r w:rsidRPr="00A02E83">
        <w:rPr>
          <w:rFonts w:ascii="Times New Roman" w:hAnsi="Times New Roman" w:cs="Times New Roman"/>
          <w:bCs/>
          <w:sz w:val="24"/>
          <w:szCs w:val="24"/>
        </w:rPr>
        <w:t>no resulta  procedente la aplicación de lo previsto en  los artículos 1742 y 1743 del C.C.</w:t>
      </w:r>
      <w:r w:rsidR="00A02E83">
        <w:rPr>
          <w:rFonts w:ascii="Times New Roman" w:hAnsi="Times New Roman" w:cs="Times New Roman"/>
          <w:bCs/>
          <w:sz w:val="24"/>
          <w:szCs w:val="24"/>
        </w:rPr>
        <w:t xml:space="preserve">, </w:t>
      </w:r>
      <w:r w:rsidR="00530477" w:rsidRPr="00A02E83">
        <w:rPr>
          <w:rFonts w:ascii="Times New Roman" w:hAnsi="Times New Roman" w:cs="Times New Roman"/>
          <w:bCs/>
          <w:sz w:val="24"/>
          <w:szCs w:val="24"/>
        </w:rPr>
        <w:t>referidos a la RATIFICACIÓ</w:t>
      </w:r>
      <w:r w:rsidRPr="00A02E83">
        <w:rPr>
          <w:rFonts w:ascii="Times New Roman" w:hAnsi="Times New Roman" w:cs="Times New Roman"/>
          <w:bCs/>
          <w:sz w:val="24"/>
          <w:szCs w:val="24"/>
        </w:rPr>
        <w:t xml:space="preserve">N, fenómeno jurídico que solo resulta relevante cuando se trata de una NULIDAD. </w:t>
      </w:r>
    </w:p>
    <w:p w14:paraId="4251F0AB" w14:textId="60360749" w:rsidR="00AB63DB" w:rsidRDefault="00AB63DB" w:rsidP="00FD720D">
      <w:pPr>
        <w:pStyle w:val="Prrafodelista"/>
        <w:pBdr>
          <w:top w:val="nil"/>
          <w:left w:val="nil"/>
          <w:bottom w:val="nil"/>
          <w:right w:val="nil"/>
          <w:between w:val="nil"/>
        </w:pBdr>
        <w:spacing w:line="480" w:lineRule="auto"/>
        <w:ind w:left="0" w:firstLine="709"/>
        <w:rPr>
          <w:rFonts w:ascii="Times New Roman" w:eastAsia="Arial" w:hAnsi="Times New Roman" w:cs="Times New Roman"/>
          <w:w w:val="109"/>
          <w:sz w:val="24"/>
          <w:szCs w:val="24"/>
          <w:lang w:val="es"/>
        </w:rPr>
      </w:pPr>
      <w:r w:rsidRPr="00AB63DB">
        <w:rPr>
          <w:rFonts w:ascii="Times New Roman" w:eastAsia="Century Gothic" w:hAnsi="Times New Roman" w:cs="Times New Roman"/>
          <w:sz w:val="24"/>
          <w:szCs w:val="24"/>
        </w:rPr>
        <w:t>Además</w:t>
      </w:r>
      <w:r w:rsidR="00FC6BF4">
        <w:rPr>
          <w:rFonts w:ascii="Times New Roman" w:eastAsia="Century Gothic" w:hAnsi="Times New Roman" w:cs="Times New Roman"/>
          <w:sz w:val="24"/>
          <w:szCs w:val="24"/>
        </w:rPr>
        <w:t>,</w:t>
      </w:r>
      <w:r w:rsidRPr="00AB63DB">
        <w:rPr>
          <w:rFonts w:ascii="Times New Roman" w:eastAsia="Century Gothic" w:hAnsi="Times New Roman" w:cs="Times New Roman"/>
          <w:sz w:val="24"/>
          <w:szCs w:val="24"/>
        </w:rPr>
        <w:t xml:space="preserve"> debe resaltarse que </w:t>
      </w:r>
      <w:r w:rsidRPr="00AB63DB">
        <w:rPr>
          <w:rFonts w:ascii="Times New Roman" w:eastAsia="Arial" w:hAnsi="Times New Roman" w:cs="Times New Roman"/>
          <w:w w:val="109"/>
          <w:sz w:val="24"/>
          <w:szCs w:val="24"/>
          <w:lang w:val="es"/>
        </w:rPr>
        <w:t>una de sus ca</w:t>
      </w:r>
      <w:r w:rsidR="006F0D07">
        <w:rPr>
          <w:rFonts w:ascii="Times New Roman" w:eastAsia="Arial" w:hAnsi="Times New Roman" w:cs="Times New Roman"/>
          <w:w w:val="109"/>
          <w:sz w:val="24"/>
          <w:szCs w:val="24"/>
          <w:lang w:val="es"/>
        </w:rPr>
        <w:t>racterísticas esenciales de la i</w:t>
      </w:r>
      <w:r w:rsidRPr="00AB63DB">
        <w:rPr>
          <w:rFonts w:ascii="Times New Roman" w:eastAsia="Arial" w:hAnsi="Times New Roman" w:cs="Times New Roman"/>
          <w:w w:val="109"/>
          <w:sz w:val="24"/>
          <w:szCs w:val="24"/>
          <w:lang w:val="es"/>
        </w:rPr>
        <w:t>nef</w:t>
      </w:r>
      <w:r w:rsidR="006F0D07">
        <w:rPr>
          <w:rFonts w:ascii="Times New Roman" w:eastAsia="Arial" w:hAnsi="Times New Roman" w:cs="Times New Roman"/>
          <w:w w:val="109"/>
          <w:sz w:val="24"/>
          <w:szCs w:val="24"/>
          <w:lang w:val="es"/>
        </w:rPr>
        <w:t>icacia de la afiliación, es que</w:t>
      </w:r>
      <w:r w:rsidRPr="00AB63DB">
        <w:rPr>
          <w:rFonts w:ascii="Times New Roman" w:eastAsia="Arial" w:hAnsi="Times New Roman" w:cs="Times New Roman"/>
          <w:w w:val="109"/>
          <w:sz w:val="24"/>
          <w:szCs w:val="24"/>
          <w:lang w:val="es"/>
        </w:rPr>
        <w:t xml:space="preserve"> es i</w:t>
      </w:r>
      <w:r w:rsidR="00063401">
        <w:rPr>
          <w:rFonts w:ascii="Times New Roman" w:eastAsia="Arial" w:hAnsi="Times New Roman" w:cs="Times New Roman"/>
          <w:w w:val="109"/>
          <w:sz w:val="24"/>
          <w:szCs w:val="24"/>
          <w:lang w:val="es"/>
        </w:rPr>
        <w:t>nsubsanable por la prescripción y puede ser alegada en cualquier tiempo.</w:t>
      </w:r>
    </w:p>
    <w:p w14:paraId="6BAC5022" w14:textId="77777777" w:rsidR="00FC6BF4" w:rsidRDefault="00FC6BF4" w:rsidP="00016E63">
      <w:pPr>
        <w:spacing w:line="480" w:lineRule="auto"/>
        <w:rPr>
          <w:rFonts w:eastAsia="Arial"/>
          <w:b/>
          <w:w w:val="109"/>
          <w:lang w:val="es"/>
        </w:rPr>
      </w:pPr>
      <w:bookmarkStart w:id="12" w:name="Recuento"/>
    </w:p>
    <w:p w14:paraId="2D30B3AE" w14:textId="2F871138" w:rsidR="00016E63" w:rsidRPr="008E247C" w:rsidRDefault="00016E63" w:rsidP="00016E63">
      <w:pPr>
        <w:spacing w:line="480" w:lineRule="auto"/>
      </w:pPr>
      <w:r>
        <w:rPr>
          <w:rFonts w:eastAsia="Arial"/>
          <w:b/>
          <w:w w:val="109"/>
          <w:lang w:val="es"/>
        </w:rPr>
        <w:lastRenderedPageBreak/>
        <w:t>D</w:t>
      </w:r>
      <w:r w:rsidRPr="00AB63DB">
        <w:rPr>
          <w:rFonts w:eastAsia="Arial"/>
          <w:b/>
          <w:w w:val="109"/>
          <w:lang w:val="es"/>
        </w:rPr>
        <w:t xml:space="preserve">eber de información </w:t>
      </w:r>
      <w:r>
        <w:rPr>
          <w:rFonts w:eastAsia="Arial"/>
          <w:b/>
          <w:w w:val="109"/>
          <w:lang w:val="es"/>
        </w:rPr>
        <w:t xml:space="preserve">por parte de las AFP </w:t>
      </w:r>
      <w:r w:rsidRPr="00AB63DB">
        <w:rPr>
          <w:rFonts w:eastAsia="Arial"/>
          <w:b/>
          <w:w w:val="109"/>
          <w:lang w:val="es"/>
        </w:rPr>
        <w:t>al momento del acto jurídico de afiliación o traslado de fondo de pensiones</w:t>
      </w:r>
    </w:p>
    <w:bookmarkEnd w:id="12"/>
    <w:p w14:paraId="4069D7CD" w14:textId="77777777" w:rsidR="00016E63" w:rsidRPr="00AB63DB" w:rsidRDefault="00016E63" w:rsidP="00016E63">
      <w:pPr>
        <w:pStyle w:val="Prrafodelista"/>
        <w:spacing w:after="0" w:line="480" w:lineRule="auto"/>
        <w:ind w:left="0" w:firstLine="709"/>
        <w:jc w:val="both"/>
        <w:rPr>
          <w:rFonts w:ascii="Times New Roman" w:hAnsi="Times New Roman" w:cs="Times New Roman"/>
          <w:sz w:val="24"/>
          <w:szCs w:val="24"/>
        </w:rPr>
      </w:pPr>
      <w:r w:rsidRPr="00AB63DB">
        <w:rPr>
          <w:rFonts w:ascii="Times New Roman" w:hAnsi="Times New Roman" w:cs="Times New Roman"/>
          <w:sz w:val="24"/>
          <w:szCs w:val="24"/>
        </w:rPr>
        <w:t>Se encuentra que en desarrollo de lo previsto en el artículo 48 de la Constitución Política, se expidió la ley 100 de 1993, que introdujo innumerables cambios en materia de seguridad social en nuestro país, y que para efectos del análisis relacionado con el problema jurídico que se pone a consideración, se pueden sintetizar del siguiente modo:</w:t>
      </w:r>
    </w:p>
    <w:p w14:paraId="3788B927" w14:textId="77777777" w:rsidR="00016E63" w:rsidRDefault="00016E63" w:rsidP="00016E63">
      <w:pPr>
        <w:numPr>
          <w:ilvl w:val="0"/>
          <w:numId w:val="4"/>
        </w:numPr>
        <w:spacing w:after="200" w:line="480" w:lineRule="auto"/>
      </w:pPr>
      <w:r w:rsidRPr="00AB63DB">
        <w:t>Creó el Régimen de Ahorro Individual Con Solidaridad (RAIS) en materia pensional, con unas características propias y requisitos muy particulares en relación con la causación y el monto de la pensión de vejez.</w:t>
      </w:r>
    </w:p>
    <w:p w14:paraId="1333D34E" w14:textId="77777777" w:rsidR="00016E63" w:rsidRPr="00AB63DB" w:rsidRDefault="00016E63" w:rsidP="00016E63">
      <w:pPr>
        <w:numPr>
          <w:ilvl w:val="0"/>
          <w:numId w:val="4"/>
        </w:numPr>
        <w:spacing w:after="200" w:line="480" w:lineRule="auto"/>
      </w:pPr>
      <w:r w:rsidRPr="00AB63DB">
        <w:t>Por esta razón, la decisión de un afiliado que estaba cotizando en el I.S.S. o en las otras Cajas de Previsión Social creadas antes de la Ley 100, de trasladarse al RAIS, exige que la persona tenga absoluta claridad en relación con su situación pensional, las diferencias entre cada uno de los regímenes, los beneficios e inconvenientes de cada régimen pensional y en especial, los efectos que en su caso se generan si toma la decisión de trasladarse.</w:t>
      </w:r>
    </w:p>
    <w:p w14:paraId="463E0B69" w14:textId="79059B8B" w:rsidR="00016E63" w:rsidRPr="00AB63DB" w:rsidRDefault="00016E63" w:rsidP="00016E63">
      <w:pPr>
        <w:numPr>
          <w:ilvl w:val="0"/>
          <w:numId w:val="4"/>
        </w:numPr>
        <w:spacing w:after="200" w:line="480" w:lineRule="auto"/>
      </w:pPr>
      <w:r w:rsidRPr="00AB63DB">
        <w:t>Esta situación supone que el afiliado tenga acceso a una información en relación con un tema de alta complejidad, que depende de un análisis minucioso y riguroso de su situación, para efectos de tomar la decisión que más le convenga en un aspecto fundamental de su vida</w:t>
      </w:r>
      <w:r w:rsidR="00FC6BF4">
        <w:t>:</w:t>
      </w:r>
      <w:r w:rsidRPr="00AB63DB">
        <w:t xml:space="preserve"> El derecho pensional que</w:t>
      </w:r>
      <w:r w:rsidR="00FC6BF4">
        <w:t>,</w:t>
      </w:r>
      <w:r w:rsidRPr="00AB63DB">
        <w:t xml:space="preserve"> por demás</w:t>
      </w:r>
      <w:r w:rsidR="00FC6BF4">
        <w:t>,</w:t>
      </w:r>
      <w:r w:rsidRPr="00AB63DB">
        <w:t xml:space="preserve"> es irrenunciable.</w:t>
      </w:r>
    </w:p>
    <w:p w14:paraId="55489E33" w14:textId="672D1563" w:rsidR="00016E63" w:rsidRPr="00AB63DB" w:rsidRDefault="00016E63" w:rsidP="00016E63">
      <w:pPr>
        <w:numPr>
          <w:ilvl w:val="0"/>
          <w:numId w:val="4"/>
        </w:numPr>
        <w:spacing w:after="200" w:line="480" w:lineRule="auto"/>
      </w:pPr>
      <w:r w:rsidRPr="00AB63DB">
        <w:lastRenderedPageBreak/>
        <w:t xml:space="preserve">El deber de información </w:t>
      </w:r>
      <w:r w:rsidRPr="00AB63DB">
        <w:rPr>
          <w:spacing w:val="-4"/>
        </w:rPr>
        <w:t>a cargo de las administradoras de fondos de pensiones, es exigible desde su creación</w:t>
      </w:r>
      <w:r w:rsidR="00FC6BF4">
        <w:rPr>
          <w:spacing w:val="-4"/>
        </w:rPr>
        <w:t xml:space="preserve"> en la Ley 100 de 1993</w:t>
      </w:r>
      <w:r w:rsidRPr="00AB63DB">
        <w:rPr>
          <w:spacing w:val="-4"/>
        </w:rPr>
        <w:t xml:space="preserve"> y sin hacer distinción alguna.</w:t>
      </w:r>
      <w:r w:rsidRPr="00AB63DB">
        <w:rPr>
          <w:b/>
          <w:spacing w:val="-4"/>
        </w:rPr>
        <w:t xml:space="preserve"> </w:t>
      </w:r>
    </w:p>
    <w:p w14:paraId="5DE9E94F" w14:textId="13C25AAE" w:rsidR="00016E63" w:rsidRPr="00AB63DB" w:rsidRDefault="00016E63" w:rsidP="00016E63">
      <w:pPr>
        <w:numPr>
          <w:ilvl w:val="0"/>
          <w:numId w:val="4"/>
        </w:numPr>
        <w:spacing w:after="200" w:line="480" w:lineRule="auto"/>
      </w:pPr>
      <w:r w:rsidRPr="00AB63DB">
        <w:rPr>
          <w:spacing w:val="-4"/>
        </w:rPr>
        <w:t>De acuerdo con el literal b) del artículo 13 de la Ley 100, los trabajadores tienen la opción de elegir «</w:t>
      </w:r>
      <w:r w:rsidRPr="00AB63DB">
        <w:rPr>
          <w:i/>
          <w:spacing w:val="-4"/>
        </w:rPr>
        <w:t>libre y voluntariamente»</w:t>
      </w:r>
      <w:r w:rsidRPr="00AB63DB">
        <w:rPr>
          <w:spacing w:val="-4"/>
        </w:rPr>
        <w:t xml:space="preserve"> aquel de los regímenes que mejor le convenga y consulte sus intereses, previniendo que si esa libertad es obstruida por el empleador</w:t>
      </w:r>
      <w:r w:rsidR="00FC6BF4">
        <w:rPr>
          <w:spacing w:val="-4"/>
        </w:rPr>
        <w:t xml:space="preserve"> o cualquier otra persona</w:t>
      </w:r>
      <w:r w:rsidRPr="00AB63DB">
        <w:rPr>
          <w:spacing w:val="-4"/>
        </w:rPr>
        <w:t xml:space="preserve">, puede ser objeto de sanciones. </w:t>
      </w:r>
    </w:p>
    <w:p w14:paraId="71A87348" w14:textId="479A5466" w:rsidR="00016E63" w:rsidRPr="00AB63DB" w:rsidRDefault="00016E63" w:rsidP="00016E63">
      <w:pPr>
        <w:numPr>
          <w:ilvl w:val="0"/>
          <w:numId w:val="4"/>
        </w:numPr>
        <w:spacing w:after="200" w:line="480" w:lineRule="auto"/>
      </w:pPr>
      <w:r w:rsidRPr="00AB63DB">
        <w:rPr>
          <w:spacing w:val="-4"/>
        </w:rPr>
        <w:t>Es así como</w:t>
      </w:r>
      <w:r w:rsidR="00EE6814">
        <w:rPr>
          <w:spacing w:val="-4"/>
        </w:rPr>
        <w:t>,</w:t>
      </w:r>
      <w:r w:rsidRPr="00AB63DB">
        <w:rPr>
          <w:spacing w:val="-4"/>
        </w:rPr>
        <w:t xml:space="preserve"> paralelamente</w:t>
      </w:r>
      <w:r w:rsidR="00FC6BF4">
        <w:rPr>
          <w:spacing w:val="-4"/>
        </w:rPr>
        <w:t xml:space="preserve">, </w:t>
      </w:r>
      <w:r w:rsidRPr="00AB63DB">
        <w:rPr>
          <w:spacing w:val="-4"/>
        </w:rPr>
        <w:t xml:space="preserve">el artículo 271 precisa que las personas jurídicas o naturales que impidan o atenten en cualquier forma contra el derecho del trabajador a su afiliación y selección de organismos e instituciones del sistema de seguridad social, son susceptibles de multas, sin perjuicio de la ineficacia de la afiliación.  </w:t>
      </w:r>
    </w:p>
    <w:p w14:paraId="665B8D76" w14:textId="0667D094" w:rsidR="00016E63" w:rsidRPr="00AB63DB" w:rsidRDefault="00016E63" w:rsidP="00016E63">
      <w:pPr>
        <w:numPr>
          <w:ilvl w:val="0"/>
          <w:numId w:val="4"/>
        </w:numPr>
        <w:spacing w:after="200" w:line="480" w:lineRule="auto"/>
      </w:pPr>
      <w:r w:rsidRPr="00AB63DB">
        <w:rPr>
          <w:spacing w:val="-4"/>
        </w:rPr>
        <w:t xml:space="preserve">Ahora bien, ha señalado la Sala  Laboral de la Corte Suprema de Justicia en providencia </w:t>
      </w:r>
      <w:r w:rsidRPr="000F35A0">
        <w:rPr>
          <w:spacing w:val="-4"/>
        </w:rPr>
        <w:t>(SL1452 de 2019 y SL 1688 del 2019),  retomando lo dicho en  la sentencia SL 33083 de 2011 y las dos sentencias hito sobre la materia (</w:t>
      </w:r>
      <w:r w:rsidRPr="000F35A0">
        <w:rPr>
          <w:lang w:val="es-CO"/>
        </w:rPr>
        <w:t>Radicado</w:t>
      </w:r>
      <w:r w:rsidR="00EE6814">
        <w:rPr>
          <w:lang w:val="es-CO"/>
        </w:rPr>
        <w:t>s</w:t>
      </w:r>
      <w:r w:rsidRPr="000F35A0">
        <w:rPr>
          <w:lang w:val="es-CO"/>
        </w:rPr>
        <w:t xml:space="preserve"> 31.314 y 31.989 del 9 de Septiembre de 2008)</w:t>
      </w:r>
      <w:r w:rsidRPr="00AB63DB">
        <w:rPr>
          <w:b/>
          <w:lang w:val="es-CO"/>
        </w:rPr>
        <w:t xml:space="preserve">, </w:t>
      </w:r>
      <w:r w:rsidRPr="00AB63DB">
        <w:rPr>
          <w:spacing w:val="-4"/>
        </w:rPr>
        <w:t xml:space="preserve">que la incursión en el sistema de seguridad social de nuevos actores de carácter privado, encargados de la gestión fiduciaria de los ahorros de los afiliados en el RAIS y, por tanto, de la prestación de un servicio público esencial, estuvo, desde un principio, sujeto a las restricciones y deberes que la naturaleza de sus actividades implicaba. </w:t>
      </w:r>
    </w:p>
    <w:p w14:paraId="614ECEE4" w14:textId="06A4BA4E" w:rsidR="00016E63" w:rsidRPr="00AB63DB" w:rsidRDefault="00016E63" w:rsidP="00016E63">
      <w:pPr>
        <w:numPr>
          <w:ilvl w:val="0"/>
          <w:numId w:val="4"/>
        </w:numPr>
        <w:spacing w:after="200" w:line="480" w:lineRule="auto"/>
      </w:pPr>
      <w:r w:rsidRPr="00AB63DB">
        <w:rPr>
          <w:spacing w:val="-4"/>
        </w:rPr>
        <w:t xml:space="preserve">En efecto, la jurisprudencia del trabajo ha entendido que la expresión </w:t>
      </w:r>
      <w:r w:rsidRPr="00AB63DB">
        <w:rPr>
          <w:i/>
          <w:spacing w:val="-4"/>
        </w:rPr>
        <w:t>libre y voluntaria</w:t>
      </w:r>
      <w:r w:rsidRPr="00AB63DB">
        <w:rPr>
          <w:spacing w:val="-4"/>
        </w:rPr>
        <w:t xml:space="preserve"> del literal b), artículo 13 de la Ley 100 de 1993, necesariamente </w:t>
      </w:r>
      <w:r w:rsidRPr="00AB63DB">
        <w:rPr>
          <w:i/>
          <w:spacing w:val="-4"/>
        </w:rPr>
        <w:lastRenderedPageBreak/>
        <w:t>presupone conocimiento</w:t>
      </w:r>
      <w:r w:rsidRPr="00AB63DB">
        <w:rPr>
          <w:spacing w:val="-4"/>
        </w:rPr>
        <w:t>, lo cual solo es posible alcanzar cuando se sabe</w:t>
      </w:r>
      <w:r w:rsidR="00EE6814">
        <w:rPr>
          <w:spacing w:val="-4"/>
        </w:rPr>
        <w:t>,</w:t>
      </w:r>
      <w:r w:rsidRPr="00AB63DB">
        <w:rPr>
          <w:spacing w:val="-4"/>
        </w:rPr>
        <w:t xml:space="preserve"> a plenitud</w:t>
      </w:r>
      <w:r w:rsidR="00EE6814">
        <w:rPr>
          <w:spacing w:val="-4"/>
        </w:rPr>
        <w:t>,</w:t>
      </w:r>
      <w:r w:rsidRPr="00AB63DB">
        <w:rPr>
          <w:spacing w:val="-4"/>
        </w:rPr>
        <w:t xml:space="preserve"> las consecuencias de una decisión de esta índole. </w:t>
      </w:r>
    </w:p>
    <w:p w14:paraId="2763F7AB" w14:textId="77777777" w:rsidR="00016E63" w:rsidRPr="000F35A0" w:rsidRDefault="00016E63" w:rsidP="00016E63">
      <w:pPr>
        <w:numPr>
          <w:ilvl w:val="0"/>
          <w:numId w:val="4"/>
        </w:numPr>
        <w:spacing w:after="200" w:line="480" w:lineRule="auto"/>
      </w:pPr>
      <w:r w:rsidRPr="00AB63DB">
        <w:rPr>
          <w:spacing w:val="-4"/>
        </w:rPr>
        <w:t>De esta forma, la Corte ha dicho</w:t>
      </w:r>
      <w:r w:rsidRPr="00AB63DB">
        <w:t xml:space="preserve"> que no puede alegarse </w:t>
      </w:r>
      <w:r>
        <w:t>“</w:t>
      </w:r>
      <w:r w:rsidRPr="000F35A0">
        <w:rPr>
          <w:spacing w:val="-4"/>
        </w:rPr>
        <w:t xml:space="preserve">que existe una manifestación libre y voluntaria cuando las personas desconocen sobre la incidencia que aquella pueda tener frente a sus derechos prestacionales, ni puede estimarse satisfecho tal requisito con una simple expresión genérica; de allí que desde el inicio haya correspondido a las </w:t>
      </w:r>
      <w:r>
        <w:rPr>
          <w:spacing w:val="-4"/>
        </w:rPr>
        <w:t xml:space="preserve">AFP </w:t>
      </w:r>
      <w:r w:rsidRPr="000F35A0">
        <w:rPr>
          <w:spacing w:val="-4"/>
        </w:rPr>
        <w:t>dar cuenta de que documentaron clara y suficientemente a  los futuros afiliados</w:t>
      </w:r>
      <w:r>
        <w:rPr>
          <w:spacing w:val="-4"/>
        </w:rPr>
        <w:t xml:space="preserve">”  </w:t>
      </w:r>
      <w:r w:rsidRPr="000F35A0">
        <w:rPr>
          <w:spacing w:val="-4"/>
        </w:rPr>
        <w:t>(Corte Suprema de Justicia, Sala de Casación Laboral, SL1452, 2019)</w:t>
      </w:r>
      <w:r>
        <w:rPr>
          <w:spacing w:val="-4"/>
        </w:rPr>
        <w:t>.</w:t>
      </w:r>
    </w:p>
    <w:p w14:paraId="412111BE" w14:textId="77777777" w:rsidR="00016E63" w:rsidRPr="001F46F4" w:rsidRDefault="00016E63" w:rsidP="00016E63">
      <w:pPr>
        <w:numPr>
          <w:ilvl w:val="0"/>
          <w:numId w:val="4"/>
        </w:numPr>
        <w:spacing w:after="200" w:line="480" w:lineRule="auto"/>
      </w:pPr>
      <w:r w:rsidRPr="00AB63DB">
        <w:rPr>
          <w:spacing w:val="-4"/>
        </w:rPr>
        <w:t>En armonía con lo anterior, el Decreto 663 de 1993</w:t>
      </w:r>
      <w:r w:rsidRPr="001F46F4">
        <w:rPr>
          <w:spacing w:val="-4"/>
        </w:rPr>
        <w:t>, el Estatuto Orgánico del Sistema Financiero, aplicable a las AFP desde su creación, prescribió</w:t>
      </w:r>
      <w:r>
        <w:rPr>
          <w:spacing w:val="-4"/>
        </w:rPr>
        <w:t xml:space="preserve"> en el numeral 1</w:t>
      </w:r>
      <w:r w:rsidRPr="001F46F4">
        <w:rPr>
          <w:spacing w:val="-4"/>
        </w:rPr>
        <w:t xml:space="preserve"> del artículo 97, la obligación de las entidades de </w:t>
      </w:r>
      <w:r>
        <w:rPr>
          <w:spacing w:val="-4"/>
        </w:rPr>
        <w:t>“</w:t>
      </w:r>
      <w:r w:rsidRPr="001F46F4">
        <w:rPr>
          <w:spacing w:val="-4"/>
        </w:rPr>
        <w:t>suministrar a los usuarios de los servicios que prestan la información necesaria para lograr la mayor transparencia en las operaciones que realicen, de suerte que les permita, a través de elementos de juicio claros y objetivos, escoger las mejores opciones del mercado</w:t>
      </w:r>
      <w:r>
        <w:rPr>
          <w:spacing w:val="-4"/>
        </w:rPr>
        <w:t>”</w:t>
      </w:r>
      <w:r w:rsidRPr="001F46F4">
        <w:rPr>
          <w:spacing w:val="-4"/>
        </w:rPr>
        <w:t>.</w:t>
      </w:r>
    </w:p>
    <w:p w14:paraId="2CB28FD3" w14:textId="283F95A4" w:rsidR="00016E63" w:rsidRDefault="00016E63" w:rsidP="00016E63">
      <w:pPr>
        <w:spacing w:after="200" w:line="480" w:lineRule="auto"/>
        <w:ind w:firstLine="709"/>
      </w:pPr>
      <w:r w:rsidRPr="00AB63DB">
        <w:rPr>
          <w:spacing w:val="-4"/>
        </w:rPr>
        <w:t>De esta manera, como puede verse, desde su fundación, las</w:t>
      </w:r>
      <w:r>
        <w:rPr>
          <w:spacing w:val="-4"/>
        </w:rPr>
        <w:t xml:space="preserve"> AFP,</w:t>
      </w:r>
      <w:r w:rsidRPr="00AB63DB">
        <w:rPr>
          <w:spacing w:val="-4"/>
        </w:rPr>
        <w:t xml:space="preserve"> tenían la obligación de garantizar una afiliación </w:t>
      </w:r>
      <w:r w:rsidRPr="00B175D8">
        <w:rPr>
          <w:spacing w:val="-4"/>
        </w:rPr>
        <w:t>libre y voluntaria</w:t>
      </w:r>
      <w:r w:rsidRPr="00AB63DB">
        <w:rPr>
          <w:spacing w:val="-4"/>
        </w:rPr>
        <w:t xml:space="preserve">, mediante la entrega de la información suficiente y transparente que le permitiera </w:t>
      </w:r>
      <w:r w:rsidR="00EE6814">
        <w:rPr>
          <w:spacing w:val="-4"/>
        </w:rPr>
        <w:t xml:space="preserve">al afiliado, </w:t>
      </w:r>
      <w:r w:rsidRPr="00AB63DB">
        <w:rPr>
          <w:spacing w:val="-4"/>
        </w:rPr>
        <w:t xml:space="preserve">elegir entre las distintas opciones posibles en el mercado, aquella que mejor se ajustara a sus intereses. </w:t>
      </w:r>
    </w:p>
    <w:p w14:paraId="59445769" w14:textId="77777777" w:rsidR="00016E63" w:rsidRDefault="00016E63" w:rsidP="00016E63">
      <w:pPr>
        <w:spacing w:after="200" w:line="480" w:lineRule="auto"/>
        <w:ind w:firstLine="709"/>
        <w:rPr>
          <w:spacing w:val="-4"/>
        </w:rPr>
      </w:pPr>
      <w:r w:rsidRPr="00AB63DB">
        <w:rPr>
          <w:spacing w:val="-4"/>
        </w:rPr>
        <w:t xml:space="preserve">Ahora bien, la información necesaria a la que alude el Estatuto Orgánico del Sistema Financiero hace referencia a la descripción de las características, condiciones, </w:t>
      </w:r>
      <w:r w:rsidRPr="00AB63DB">
        <w:rPr>
          <w:spacing w:val="-4"/>
        </w:rPr>
        <w:lastRenderedPageBreak/>
        <w:t>acceso y servicios de cada uno de los regímenes pensionales, de modo que el afiliado pueda conocer con exactitud la lógica de los sistemas públicos y privados de pensiones. Por lo tanto, implica un parangón entre las características, ventajas y desventajas objetivas de cada uno de los regímenes vigentes, así como de las consecuencias jurídicas de su elección.</w:t>
      </w:r>
      <w:r>
        <w:rPr>
          <w:spacing w:val="-4"/>
        </w:rPr>
        <w:t xml:space="preserve"> Por  su parte, la Corte Suprema de Justicia menciona lo siguiente:</w:t>
      </w:r>
    </w:p>
    <w:p w14:paraId="2DDA351B" w14:textId="426FBE02" w:rsidR="00016E63" w:rsidRDefault="00016E63" w:rsidP="00016E63">
      <w:pPr>
        <w:spacing w:after="200" w:line="480" w:lineRule="auto"/>
        <w:ind w:left="709"/>
        <w:rPr>
          <w:spacing w:val="-4"/>
        </w:rPr>
      </w:pPr>
      <w:r>
        <w:rPr>
          <w:spacing w:val="-4"/>
        </w:rPr>
        <w:t>L</w:t>
      </w:r>
      <w:r w:rsidRPr="00AB63DB">
        <w:rPr>
          <w:spacing w:val="-4"/>
        </w:rPr>
        <w:t xml:space="preserve">a transparencia es una norma de diálogo que le impone a la administradora, a </w:t>
      </w:r>
      <w:r w:rsidRPr="00B175D8">
        <w:rPr>
          <w:spacing w:val="-4"/>
        </w:rPr>
        <w:t xml:space="preserve">través del promotor de servicios o asesor comercial, dar a conocer al usuario, en un lenguaje claro, simple y comprensible, los elementos definitorios y condiciones del régimen de ahorro individual con solidaridad y del de prima media con prestación definida, de manera que la elección pueda realizarse por el afiliado después de comprender a plenitud las reglas, consecuencias y riesgos de cada uno de los oferentes de servicios. En otros términos, la transparencia impone la obligación de dar a conocer toda la verdad objetiva de los regímenes, evitando sobredimensionar lo </w:t>
      </w:r>
      <w:r w:rsidRPr="00AB63DB">
        <w:rPr>
          <w:spacing w:val="-4"/>
        </w:rPr>
        <w:t>bueno, callar sobre lo malo y parcializar lo neutro</w:t>
      </w:r>
      <w:r>
        <w:rPr>
          <w:spacing w:val="-4"/>
        </w:rPr>
        <w:t xml:space="preserve"> (</w:t>
      </w:r>
      <w:r w:rsidRPr="00B175D8">
        <w:rPr>
          <w:spacing w:val="-4"/>
        </w:rPr>
        <w:t>SL 1452 de 2019</w:t>
      </w:r>
      <w:r>
        <w:rPr>
          <w:spacing w:val="-4"/>
        </w:rPr>
        <w:t>)</w:t>
      </w:r>
      <w:r w:rsidRPr="00AB63DB">
        <w:rPr>
          <w:spacing w:val="-4"/>
        </w:rPr>
        <w:t>.</w:t>
      </w:r>
    </w:p>
    <w:p w14:paraId="27341E1C" w14:textId="77777777" w:rsidR="00016E63" w:rsidRDefault="00016E63" w:rsidP="00016E63">
      <w:pPr>
        <w:spacing w:line="480" w:lineRule="auto"/>
        <w:ind w:firstLine="709"/>
        <w:rPr>
          <w:lang w:val="es-CO" w:eastAsia="en-US"/>
        </w:rPr>
      </w:pPr>
      <w:r>
        <w:rPr>
          <w:lang w:val="es-CO" w:eastAsia="en-US"/>
        </w:rPr>
        <w:t>Así las cosas, se h</w:t>
      </w:r>
      <w:r w:rsidRPr="00CB57E7">
        <w:rPr>
          <w:lang w:val="es-CO" w:eastAsia="en-US"/>
        </w:rPr>
        <w:t>a considerado que dada la doble calidad de las AFP de sociedades de servicios financieros y entidades de la seguridad social, el cumplimiento de este deber es mucho más riguroso que el que podía exigirse a otra entidad financiera, pues de su ejercicio dependen caros intereses sociales, como son la protección de la vejez, de la invalidez y de la muerte. De allí que estas entidades, en función de sus fines y compromisos sociales, deban ser un ejemplo de comportamiento y dar confianza a los ciudadanos de quienes reciben sus ahorros, actuar de buena fe, con transparencia y ética en el servicio público.</w:t>
      </w:r>
    </w:p>
    <w:p w14:paraId="1573CEB9" w14:textId="77777777" w:rsidR="00016E63" w:rsidRPr="001F46F4" w:rsidRDefault="00016E63" w:rsidP="00016E63">
      <w:pPr>
        <w:spacing w:line="480" w:lineRule="auto"/>
        <w:ind w:firstLine="709"/>
      </w:pPr>
      <w:r w:rsidRPr="00AB63DB">
        <w:rPr>
          <w:i/>
          <w:spacing w:val="-4"/>
        </w:rPr>
        <w:lastRenderedPageBreak/>
        <w:t xml:space="preserve"> </w:t>
      </w:r>
      <w:r w:rsidRPr="00AB63DB">
        <w:rPr>
          <w:spacing w:val="-4"/>
        </w:rPr>
        <w:t xml:space="preserve"> </w:t>
      </w:r>
      <w:r w:rsidRPr="001F46F4">
        <w:t xml:space="preserve">Con estos argumentos es que </w:t>
      </w:r>
      <w:r>
        <w:t xml:space="preserve">se </w:t>
      </w:r>
      <w:r w:rsidRPr="001F46F4">
        <w:t xml:space="preserve">ha defendido la tesis de que las AFP, desde su fundación e incorporación al sistema de protección social, tienen el “deber de proporcionar a sus interesados una información completa y comprensible, a la medida de la asimetría que se ha de salvar entre un administrador experto y un afiliado lego, en materias de alta complejidad” (Corte Suprema de Justicia, Sala de Casación Laboral, SL1452, 2019), premisa que implica dar a conocer “las diferentes alternativas, con sus beneficios e inconvenientes” (Corte Suprema de Justicia, Sala de Casación Laboral, SL1452, 2019). </w:t>
      </w:r>
    </w:p>
    <w:p w14:paraId="16CE4BAD" w14:textId="752DA90F" w:rsidR="00016E63" w:rsidRDefault="00016E63" w:rsidP="00016E63">
      <w:pPr>
        <w:pStyle w:val="Prrafodelista"/>
        <w:spacing w:after="0" w:line="480" w:lineRule="auto"/>
        <w:ind w:left="0" w:firstLine="709"/>
        <w:jc w:val="both"/>
        <w:rPr>
          <w:rFonts w:ascii="Times New Roman" w:hAnsi="Times New Roman" w:cs="Times New Roman"/>
          <w:sz w:val="24"/>
          <w:szCs w:val="24"/>
        </w:rPr>
      </w:pPr>
      <w:r>
        <w:rPr>
          <w:rFonts w:ascii="Times New Roman" w:hAnsi="Times New Roman" w:cs="Times New Roman"/>
          <w:sz w:val="24"/>
          <w:szCs w:val="24"/>
        </w:rPr>
        <w:t>S</w:t>
      </w:r>
      <w:r w:rsidRPr="001F46F4">
        <w:rPr>
          <w:rFonts w:ascii="Times New Roman" w:hAnsi="Times New Roman" w:cs="Times New Roman"/>
          <w:sz w:val="24"/>
          <w:szCs w:val="24"/>
        </w:rPr>
        <w:t xml:space="preserve">i bien, el precedente jurisprudencial se encuentra referido a casos de personas  que se encontraban afiliadas a una administradora del Régimen de Prima Media y además,  beneficiarias del régimen de transición, </w:t>
      </w:r>
      <w:r w:rsidR="00E14BCD">
        <w:rPr>
          <w:rFonts w:ascii="Times New Roman" w:hAnsi="Times New Roman" w:cs="Times New Roman"/>
          <w:sz w:val="24"/>
          <w:szCs w:val="24"/>
        </w:rPr>
        <w:t xml:space="preserve">que se trasladaron al RAIS, </w:t>
      </w:r>
      <w:r w:rsidRPr="001F46F4">
        <w:rPr>
          <w:rFonts w:ascii="Times New Roman" w:hAnsi="Times New Roman" w:cs="Times New Roman"/>
          <w:sz w:val="24"/>
          <w:szCs w:val="24"/>
        </w:rPr>
        <w:t xml:space="preserve">a quienes  les afectó de manera considerable la decisión de traslado de régimen pensional,  sin embargo, resulta evidente que la </w:t>
      </w:r>
      <w:r w:rsidRPr="001F46F4">
        <w:rPr>
          <w:rFonts w:ascii="Times New Roman" w:hAnsi="Times New Roman" w:cs="Times New Roman"/>
          <w:i/>
          <w:sz w:val="24"/>
          <w:szCs w:val="24"/>
        </w:rPr>
        <w:t>Ratio Decidendi</w:t>
      </w:r>
      <w:r w:rsidRPr="001F46F4">
        <w:rPr>
          <w:rFonts w:ascii="Times New Roman" w:hAnsi="Times New Roman" w:cs="Times New Roman"/>
          <w:sz w:val="24"/>
          <w:szCs w:val="24"/>
        </w:rPr>
        <w:t xml:space="preserve"> de esas providenci</w:t>
      </w:r>
      <w:r>
        <w:rPr>
          <w:rFonts w:ascii="Times New Roman" w:hAnsi="Times New Roman" w:cs="Times New Roman"/>
          <w:sz w:val="24"/>
          <w:szCs w:val="24"/>
        </w:rPr>
        <w:t>as resulta plenamente aplicable</w:t>
      </w:r>
      <w:r w:rsidRPr="001F46F4">
        <w:rPr>
          <w:rFonts w:ascii="Times New Roman" w:hAnsi="Times New Roman" w:cs="Times New Roman"/>
          <w:sz w:val="24"/>
          <w:szCs w:val="24"/>
        </w:rPr>
        <w:t xml:space="preserve"> a las personas que se trasladaron de régimen sin ser beneficiarios del régimen de transición e incluso a quienes eligieron el </w:t>
      </w:r>
      <w:r>
        <w:rPr>
          <w:rFonts w:ascii="Times New Roman" w:hAnsi="Times New Roman" w:cs="Times New Roman"/>
          <w:sz w:val="24"/>
          <w:szCs w:val="24"/>
        </w:rPr>
        <w:t xml:space="preserve">RAIS </w:t>
      </w:r>
      <w:r w:rsidRPr="001F46F4">
        <w:rPr>
          <w:rFonts w:ascii="Times New Roman" w:hAnsi="Times New Roman" w:cs="Times New Roman"/>
          <w:sz w:val="24"/>
          <w:szCs w:val="24"/>
        </w:rPr>
        <w:t>por Primera Vez</w:t>
      </w:r>
      <w:r>
        <w:rPr>
          <w:rFonts w:ascii="Times New Roman" w:hAnsi="Times New Roman" w:cs="Times New Roman"/>
          <w:sz w:val="24"/>
          <w:szCs w:val="24"/>
        </w:rPr>
        <w:t>, porque,  lo relevante está</w:t>
      </w:r>
      <w:r w:rsidRPr="001F46F4">
        <w:rPr>
          <w:rFonts w:ascii="Times New Roman" w:hAnsi="Times New Roman" w:cs="Times New Roman"/>
          <w:sz w:val="24"/>
          <w:szCs w:val="24"/>
        </w:rPr>
        <w:t xml:space="preserve"> en que efectivamente se acredite dentro del proceso por la Administradora de Pensiones, que sí </w:t>
      </w:r>
      <w:r w:rsidRPr="00865D15">
        <w:rPr>
          <w:rFonts w:ascii="Times New Roman" w:hAnsi="Times New Roman" w:cs="Times New Roman"/>
          <w:b/>
          <w:sz w:val="24"/>
          <w:szCs w:val="24"/>
          <w:u w:val="single"/>
        </w:rPr>
        <w:t>s</w:t>
      </w:r>
      <w:r w:rsidRPr="001F46F4">
        <w:rPr>
          <w:rFonts w:ascii="Times New Roman" w:hAnsi="Times New Roman" w:cs="Times New Roman"/>
          <w:b/>
          <w:sz w:val="24"/>
          <w:szCs w:val="24"/>
          <w:u w:val="single"/>
        </w:rPr>
        <w:t>uministró la información clara, completa, suficiente</w:t>
      </w:r>
      <w:r w:rsidRPr="001F46F4">
        <w:rPr>
          <w:rFonts w:ascii="Times New Roman" w:hAnsi="Times New Roman" w:cs="Times New Roman"/>
          <w:sz w:val="24"/>
          <w:szCs w:val="24"/>
        </w:rPr>
        <w:t xml:space="preserve">, en términos de transparencia y eficiencia.   </w:t>
      </w:r>
    </w:p>
    <w:p w14:paraId="0339F5BB" w14:textId="77777777" w:rsidR="00016E63" w:rsidRPr="001F46F4" w:rsidRDefault="00016E63" w:rsidP="00016E63">
      <w:pPr>
        <w:spacing w:line="480" w:lineRule="auto"/>
        <w:ind w:firstLine="709"/>
        <w:jc w:val="both"/>
        <w:rPr>
          <w:lang w:val="es-CO"/>
        </w:rPr>
      </w:pPr>
      <w:r w:rsidRPr="001F46F4">
        <w:rPr>
          <w:lang w:val="es-CO"/>
        </w:rPr>
        <w:t xml:space="preserve">Vale recordar que con respecto al precedente jurisprudencial y a la doctrina probable, la Corte Constitucional en Sentencia C – 621 de 2015, determinó que mientras la doctrina probable establece una regla de interpretación de las normas vigentes, que afecta la parte considerativa de la decisión judicial,  el precedente judicial establece reglas sobre la aplicación de las normas en casos precisos. </w:t>
      </w:r>
    </w:p>
    <w:p w14:paraId="6194BE27" w14:textId="77777777" w:rsidR="00016E63" w:rsidRDefault="00016E63" w:rsidP="00016E63">
      <w:pPr>
        <w:spacing w:line="480" w:lineRule="auto"/>
        <w:ind w:firstLine="709"/>
        <w:jc w:val="both"/>
      </w:pPr>
      <w:r w:rsidRPr="00AB63DB">
        <w:lastRenderedPageBreak/>
        <w:t xml:space="preserve">Es por lo anterior, que puede evidenciarse que la Corte Suprema de Justicia ha creado precedente jurisprudencial y doctrina probable, pues existen más de </w:t>
      </w:r>
      <w:r>
        <w:t xml:space="preserve">tres </w:t>
      </w:r>
      <w:r w:rsidRPr="00AB63DB">
        <w:t xml:space="preserve">decisiones bajo un mismo punto de derecho acerca de la regla de interpretación de las normas vigentes, como las reglas sobre la aplicación de las normas en casos precisos y ha sido reiterativa en expresar que en los casos en que los promotores de las </w:t>
      </w:r>
      <w:r>
        <w:t>AFP</w:t>
      </w:r>
      <w:r w:rsidRPr="00AB63DB">
        <w:t xml:space="preserve"> han omitido el deber de información al momento del acto jurídico de afiliación o traslado de fondo</w:t>
      </w:r>
      <w:r>
        <w:t>, procede la ineficacia.</w:t>
      </w:r>
    </w:p>
    <w:p w14:paraId="7A91C464" w14:textId="77777777" w:rsidR="00016E63" w:rsidRDefault="00016E63" w:rsidP="00FD720D">
      <w:pPr>
        <w:spacing w:line="480" w:lineRule="auto"/>
        <w:rPr>
          <w:b/>
          <w:lang w:val="es-ES"/>
        </w:rPr>
      </w:pPr>
      <w:bookmarkStart w:id="13" w:name="Cuadros"/>
    </w:p>
    <w:p w14:paraId="69D3AC08" w14:textId="61FC5E9D" w:rsidR="00A8717D" w:rsidRPr="00AB63DB" w:rsidRDefault="00070064" w:rsidP="00FD720D">
      <w:pPr>
        <w:spacing w:line="480" w:lineRule="auto"/>
        <w:rPr>
          <w:b/>
          <w:lang w:val="es-ES"/>
        </w:rPr>
      </w:pPr>
      <w:r>
        <w:rPr>
          <w:b/>
          <w:lang w:val="es-ES"/>
        </w:rPr>
        <w:t>Jurisprudencia de la Sala Laboral de la Corte Suprema de Justicia relati</w:t>
      </w:r>
      <w:r w:rsidR="00786296">
        <w:rPr>
          <w:b/>
          <w:lang w:val="es-ES"/>
        </w:rPr>
        <w:t>va a la Ineficacia del Traslado</w:t>
      </w:r>
    </w:p>
    <w:tbl>
      <w:tblPr>
        <w:tblStyle w:val="Tablaconcuadrcula"/>
        <w:tblpPr w:leftFromText="141" w:rightFromText="141" w:vertAnchor="text" w:horzAnchor="margin" w:tblpXSpec="center" w:tblpY="67"/>
        <w:tblW w:w="0" w:type="auto"/>
        <w:shd w:val="clear" w:color="auto" w:fill="FFFFFF" w:themeFill="background1"/>
        <w:tblLook w:val="04A0" w:firstRow="1" w:lastRow="0" w:firstColumn="1" w:lastColumn="0" w:noHBand="0" w:noVBand="1"/>
      </w:tblPr>
      <w:tblGrid>
        <w:gridCol w:w="2152"/>
        <w:gridCol w:w="6334"/>
      </w:tblGrid>
      <w:tr w:rsidR="00CC4466" w:rsidRPr="000A01D2" w14:paraId="07C688D3" w14:textId="77777777" w:rsidTr="000A01D2">
        <w:trPr>
          <w:trHeight w:val="841"/>
        </w:trPr>
        <w:tc>
          <w:tcPr>
            <w:tcW w:w="0" w:type="auto"/>
            <w:gridSpan w:val="2"/>
            <w:tcBorders>
              <w:top w:val="nil"/>
              <w:left w:val="nil"/>
              <w:bottom w:val="single" w:sz="4" w:space="0" w:color="auto"/>
              <w:right w:val="nil"/>
            </w:tcBorders>
            <w:shd w:val="clear" w:color="auto" w:fill="FFFFFF" w:themeFill="background1"/>
          </w:tcPr>
          <w:p w14:paraId="0EDCDAF4" w14:textId="49C871C5" w:rsidR="00CC4466" w:rsidRPr="000A01D2" w:rsidRDefault="00CC4466" w:rsidP="000A01D2">
            <w:pPr>
              <w:spacing w:line="480" w:lineRule="auto"/>
              <w:rPr>
                <w:sz w:val="24"/>
                <w:szCs w:val="24"/>
              </w:rPr>
            </w:pPr>
            <w:r w:rsidRPr="000A01D2">
              <w:rPr>
                <w:sz w:val="24"/>
                <w:szCs w:val="24"/>
              </w:rPr>
              <w:t>Tabla 1</w:t>
            </w:r>
          </w:p>
          <w:p w14:paraId="3C0E32FB" w14:textId="60994910" w:rsidR="00CC4466" w:rsidRPr="000A01D2" w:rsidRDefault="00CC4466" w:rsidP="000A01D2">
            <w:pPr>
              <w:spacing w:line="480" w:lineRule="auto"/>
              <w:rPr>
                <w:i/>
                <w:sz w:val="24"/>
                <w:szCs w:val="24"/>
              </w:rPr>
            </w:pPr>
            <w:r w:rsidRPr="000A01D2">
              <w:rPr>
                <w:i/>
                <w:sz w:val="24"/>
                <w:szCs w:val="24"/>
              </w:rPr>
              <w:t>Sentencia SL 31989</w:t>
            </w:r>
          </w:p>
        </w:tc>
      </w:tr>
      <w:bookmarkEnd w:id="13"/>
      <w:tr w:rsidR="00AB63DB" w:rsidRPr="000A01D2" w14:paraId="23851F67" w14:textId="77777777" w:rsidTr="000A01D2">
        <w:trPr>
          <w:trHeight w:val="841"/>
        </w:trPr>
        <w:tc>
          <w:tcPr>
            <w:tcW w:w="0" w:type="auto"/>
            <w:tcBorders>
              <w:top w:val="single" w:sz="4" w:space="0" w:color="auto"/>
              <w:left w:val="nil"/>
              <w:bottom w:val="single" w:sz="4" w:space="0" w:color="auto"/>
              <w:right w:val="nil"/>
            </w:tcBorders>
            <w:shd w:val="clear" w:color="auto" w:fill="FFFFFF" w:themeFill="background1"/>
            <w:hideMark/>
          </w:tcPr>
          <w:p w14:paraId="37370192" w14:textId="77777777" w:rsidR="00AB63DB" w:rsidRPr="000A01D2" w:rsidRDefault="00AB63DB" w:rsidP="000A01D2">
            <w:pPr>
              <w:spacing w:line="480" w:lineRule="auto"/>
              <w:rPr>
                <w:b/>
                <w:sz w:val="24"/>
                <w:szCs w:val="24"/>
              </w:rPr>
            </w:pPr>
            <w:r w:rsidRPr="000A01D2">
              <w:rPr>
                <w:b/>
                <w:sz w:val="24"/>
                <w:szCs w:val="24"/>
              </w:rPr>
              <w:t>Identificación</w:t>
            </w:r>
          </w:p>
        </w:tc>
        <w:tc>
          <w:tcPr>
            <w:tcW w:w="0" w:type="auto"/>
            <w:tcBorders>
              <w:top w:val="single" w:sz="4" w:space="0" w:color="auto"/>
              <w:left w:val="nil"/>
              <w:bottom w:val="single" w:sz="4" w:space="0" w:color="auto"/>
              <w:right w:val="nil"/>
            </w:tcBorders>
            <w:shd w:val="clear" w:color="auto" w:fill="FFFFFF" w:themeFill="background1"/>
          </w:tcPr>
          <w:p w14:paraId="5DA87B0A" w14:textId="45A8716B" w:rsidR="00AB63DB" w:rsidRPr="000A01D2" w:rsidRDefault="00AB63DB" w:rsidP="003F6831">
            <w:pPr>
              <w:spacing w:line="480" w:lineRule="auto"/>
              <w:rPr>
                <w:b/>
                <w:bCs/>
                <w:sz w:val="24"/>
                <w:szCs w:val="24"/>
              </w:rPr>
            </w:pPr>
            <w:r w:rsidRPr="000A01D2">
              <w:rPr>
                <w:sz w:val="24"/>
                <w:szCs w:val="24"/>
              </w:rPr>
              <w:t xml:space="preserve">Corte Suprema de Justicia – Sala Laboral Radicado </w:t>
            </w:r>
            <w:r w:rsidRPr="000A01D2">
              <w:rPr>
                <w:rFonts w:eastAsia="Times New Roman"/>
                <w:sz w:val="24"/>
                <w:szCs w:val="24"/>
                <w:lang w:val="es-ES_tradnl" w:eastAsia="es-ES"/>
              </w:rPr>
              <w:t xml:space="preserve"> SL31989-2008</w:t>
            </w:r>
            <w:r w:rsidR="003F6831">
              <w:rPr>
                <w:rFonts w:eastAsia="Times New Roman"/>
                <w:sz w:val="24"/>
                <w:szCs w:val="24"/>
                <w:lang w:val="es-ES_tradnl" w:eastAsia="es-ES"/>
              </w:rPr>
              <w:t xml:space="preserve">, </w:t>
            </w:r>
            <w:r w:rsidRPr="000A01D2">
              <w:rPr>
                <w:rFonts w:eastAsia="Times New Roman"/>
                <w:sz w:val="24"/>
                <w:szCs w:val="24"/>
                <w:lang w:val="es-ES_tradnl" w:eastAsia="es-ES"/>
              </w:rPr>
              <w:t>Radicación N.° 31989 del 9 de septiembre de 2008</w:t>
            </w:r>
            <w:r w:rsidR="003F6831">
              <w:rPr>
                <w:rFonts w:eastAsia="Times New Roman"/>
                <w:sz w:val="24"/>
                <w:szCs w:val="24"/>
                <w:lang w:val="es-ES_tradnl" w:eastAsia="es-ES"/>
              </w:rPr>
              <w:t>.</w:t>
            </w:r>
          </w:p>
        </w:tc>
      </w:tr>
      <w:tr w:rsidR="00AB63DB" w:rsidRPr="000A01D2" w14:paraId="0F57CC03" w14:textId="77777777" w:rsidTr="000A01D2">
        <w:tc>
          <w:tcPr>
            <w:tcW w:w="0" w:type="auto"/>
            <w:tcBorders>
              <w:top w:val="single" w:sz="4" w:space="0" w:color="auto"/>
              <w:left w:val="nil"/>
              <w:bottom w:val="single" w:sz="4" w:space="0" w:color="auto"/>
              <w:right w:val="nil"/>
            </w:tcBorders>
            <w:shd w:val="clear" w:color="auto" w:fill="FFFFFF" w:themeFill="background1"/>
            <w:hideMark/>
          </w:tcPr>
          <w:p w14:paraId="4512740E" w14:textId="77777777" w:rsidR="00AB63DB" w:rsidRPr="000A01D2" w:rsidRDefault="00AB63DB" w:rsidP="000A01D2">
            <w:pPr>
              <w:spacing w:line="480" w:lineRule="auto"/>
              <w:rPr>
                <w:b/>
                <w:sz w:val="24"/>
                <w:szCs w:val="24"/>
              </w:rPr>
            </w:pPr>
            <w:r w:rsidRPr="000A01D2">
              <w:rPr>
                <w:b/>
                <w:sz w:val="24"/>
                <w:szCs w:val="24"/>
              </w:rPr>
              <w:t>Magistrado ponente</w:t>
            </w:r>
          </w:p>
        </w:tc>
        <w:tc>
          <w:tcPr>
            <w:tcW w:w="0" w:type="auto"/>
            <w:tcBorders>
              <w:top w:val="single" w:sz="4" w:space="0" w:color="auto"/>
              <w:left w:val="nil"/>
              <w:bottom w:val="single" w:sz="4" w:space="0" w:color="auto"/>
              <w:right w:val="nil"/>
            </w:tcBorders>
            <w:shd w:val="clear" w:color="auto" w:fill="FFFFFF" w:themeFill="background1"/>
          </w:tcPr>
          <w:p w14:paraId="6FFB1B6B" w14:textId="6E1199C3" w:rsidR="00AB63DB" w:rsidRPr="000A01D2" w:rsidRDefault="00C91893" w:rsidP="000A01D2">
            <w:pPr>
              <w:spacing w:line="480" w:lineRule="auto"/>
              <w:rPr>
                <w:sz w:val="24"/>
                <w:szCs w:val="24"/>
              </w:rPr>
            </w:pPr>
            <w:r w:rsidRPr="000A01D2">
              <w:rPr>
                <w:sz w:val="24"/>
                <w:szCs w:val="24"/>
              </w:rPr>
              <w:t>Eduardo López Villegas</w:t>
            </w:r>
          </w:p>
        </w:tc>
      </w:tr>
      <w:tr w:rsidR="00AB63DB" w:rsidRPr="000A01D2" w14:paraId="2E4C8948" w14:textId="77777777" w:rsidTr="000A01D2">
        <w:tc>
          <w:tcPr>
            <w:tcW w:w="0" w:type="auto"/>
            <w:tcBorders>
              <w:top w:val="single" w:sz="4" w:space="0" w:color="auto"/>
              <w:left w:val="nil"/>
              <w:bottom w:val="single" w:sz="4" w:space="0" w:color="auto"/>
              <w:right w:val="nil"/>
            </w:tcBorders>
            <w:shd w:val="clear" w:color="auto" w:fill="FFFFFF" w:themeFill="background1"/>
            <w:hideMark/>
          </w:tcPr>
          <w:p w14:paraId="363A578C" w14:textId="77777777" w:rsidR="00AB63DB" w:rsidRPr="000A01D2" w:rsidRDefault="00AB63DB" w:rsidP="000A01D2">
            <w:pPr>
              <w:spacing w:line="480" w:lineRule="auto"/>
              <w:rPr>
                <w:b/>
                <w:sz w:val="24"/>
                <w:szCs w:val="24"/>
              </w:rPr>
            </w:pPr>
            <w:r w:rsidRPr="000A01D2">
              <w:rPr>
                <w:b/>
                <w:sz w:val="24"/>
                <w:szCs w:val="24"/>
              </w:rPr>
              <w:t>Partes</w:t>
            </w:r>
          </w:p>
        </w:tc>
        <w:tc>
          <w:tcPr>
            <w:tcW w:w="0" w:type="auto"/>
            <w:tcBorders>
              <w:top w:val="single" w:sz="4" w:space="0" w:color="auto"/>
              <w:left w:val="nil"/>
              <w:bottom w:val="single" w:sz="4" w:space="0" w:color="auto"/>
              <w:right w:val="nil"/>
            </w:tcBorders>
            <w:shd w:val="clear" w:color="auto" w:fill="FFFFFF" w:themeFill="background1"/>
          </w:tcPr>
          <w:p w14:paraId="773D6222" w14:textId="1BEE0CD2" w:rsidR="00AB63DB" w:rsidRPr="000A01D2" w:rsidRDefault="00C91893" w:rsidP="000A01D2">
            <w:pPr>
              <w:spacing w:line="480" w:lineRule="auto"/>
              <w:rPr>
                <w:rFonts w:eastAsia="Times New Roman"/>
                <w:sz w:val="24"/>
                <w:szCs w:val="24"/>
                <w:lang w:val="es-ES_tradnl" w:eastAsia="es-ES"/>
              </w:rPr>
            </w:pPr>
            <w:r w:rsidRPr="000A01D2">
              <w:rPr>
                <w:b/>
                <w:sz w:val="24"/>
                <w:szCs w:val="24"/>
              </w:rPr>
              <w:t xml:space="preserve">Demandante: </w:t>
            </w:r>
            <w:r w:rsidRPr="000A01D2">
              <w:rPr>
                <w:sz w:val="24"/>
                <w:szCs w:val="24"/>
              </w:rPr>
              <w:t>Juan Rafael Vargas Jaramillo</w:t>
            </w:r>
          </w:p>
          <w:p w14:paraId="08EAAF1C" w14:textId="39E8E14E" w:rsidR="00AB63DB" w:rsidRPr="000A01D2" w:rsidRDefault="00C91893" w:rsidP="000A01D2">
            <w:pPr>
              <w:spacing w:line="480" w:lineRule="auto"/>
              <w:rPr>
                <w:sz w:val="24"/>
                <w:szCs w:val="24"/>
              </w:rPr>
            </w:pPr>
            <w:r w:rsidRPr="000A01D2">
              <w:rPr>
                <w:b/>
                <w:sz w:val="24"/>
                <w:szCs w:val="24"/>
              </w:rPr>
              <w:t xml:space="preserve">Demandado: </w:t>
            </w:r>
            <w:r w:rsidRPr="000A01D2">
              <w:rPr>
                <w:sz w:val="24"/>
                <w:szCs w:val="24"/>
              </w:rPr>
              <w:t>Porvenir S.A</w:t>
            </w:r>
          </w:p>
        </w:tc>
      </w:tr>
      <w:tr w:rsidR="00AB63DB" w:rsidRPr="000A01D2" w14:paraId="10ECD3DC" w14:textId="77777777" w:rsidTr="000A01D2">
        <w:tc>
          <w:tcPr>
            <w:tcW w:w="0" w:type="auto"/>
            <w:tcBorders>
              <w:top w:val="single" w:sz="4" w:space="0" w:color="auto"/>
              <w:left w:val="nil"/>
              <w:bottom w:val="single" w:sz="4" w:space="0" w:color="auto"/>
              <w:right w:val="nil"/>
            </w:tcBorders>
            <w:shd w:val="clear" w:color="auto" w:fill="FFFFFF" w:themeFill="background1"/>
          </w:tcPr>
          <w:p w14:paraId="493B6D44" w14:textId="77777777" w:rsidR="00AB63DB" w:rsidRPr="000A01D2" w:rsidRDefault="00AB63DB" w:rsidP="000A01D2">
            <w:pPr>
              <w:spacing w:line="480" w:lineRule="auto"/>
              <w:rPr>
                <w:b/>
                <w:sz w:val="24"/>
                <w:szCs w:val="24"/>
              </w:rPr>
            </w:pPr>
            <w:r w:rsidRPr="000A01D2">
              <w:rPr>
                <w:b/>
                <w:sz w:val="24"/>
                <w:szCs w:val="24"/>
              </w:rPr>
              <w:t>Temas</w:t>
            </w:r>
          </w:p>
        </w:tc>
        <w:tc>
          <w:tcPr>
            <w:tcW w:w="0" w:type="auto"/>
            <w:tcBorders>
              <w:top w:val="single" w:sz="4" w:space="0" w:color="auto"/>
              <w:left w:val="nil"/>
              <w:bottom w:val="single" w:sz="4" w:space="0" w:color="auto"/>
              <w:right w:val="nil"/>
            </w:tcBorders>
            <w:shd w:val="clear" w:color="auto" w:fill="FFFFFF" w:themeFill="background1"/>
          </w:tcPr>
          <w:p w14:paraId="07DBA8F1" w14:textId="77777777" w:rsidR="00AB63DB" w:rsidRPr="000A01D2" w:rsidRDefault="00AB63DB" w:rsidP="000A01D2">
            <w:pPr>
              <w:spacing w:line="480" w:lineRule="auto"/>
              <w:rPr>
                <w:sz w:val="24"/>
                <w:szCs w:val="24"/>
              </w:rPr>
            </w:pPr>
            <w:r w:rsidRPr="000A01D2">
              <w:rPr>
                <w:sz w:val="24"/>
                <w:szCs w:val="24"/>
              </w:rPr>
              <w:t xml:space="preserve">Nulidad del traslado de régimen y perjuicios.  </w:t>
            </w:r>
          </w:p>
        </w:tc>
      </w:tr>
      <w:tr w:rsidR="00AB63DB" w:rsidRPr="000A01D2" w14:paraId="6B551F45" w14:textId="77777777" w:rsidTr="000A01D2">
        <w:tc>
          <w:tcPr>
            <w:tcW w:w="0" w:type="auto"/>
            <w:tcBorders>
              <w:top w:val="single" w:sz="4" w:space="0" w:color="auto"/>
              <w:left w:val="nil"/>
              <w:bottom w:val="single" w:sz="4" w:space="0" w:color="auto"/>
              <w:right w:val="nil"/>
            </w:tcBorders>
            <w:shd w:val="clear" w:color="auto" w:fill="FFFFFF" w:themeFill="background1"/>
            <w:hideMark/>
          </w:tcPr>
          <w:p w14:paraId="68885C23" w14:textId="12113A76" w:rsidR="00AB63DB" w:rsidRPr="000A01D2" w:rsidRDefault="00C5493B" w:rsidP="000A01D2">
            <w:pPr>
              <w:spacing w:line="480" w:lineRule="auto"/>
              <w:rPr>
                <w:b/>
                <w:sz w:val="24"/>
                <w:szCs w:val="24"/>
              </w:rPr>
            </w:pPr>
            <w:r w:rsidRPr="000A01D2">
              <w:rPr>
                <w:b/>
                <w:sz w:val="24"/>
                <w:szCs w:val="24"/>
              </w:rPr>
              <w:t>Hechos jurídicamente relevantes</w:t>
            </w:r>
          </w:p>
        </w:tc>
        <w:tc>
          <w:tcPr>
            <w:tcW w:w="0" w:type="auto"/>
            <w:tcBorders>
              <w:top w:val="single" w:sz="4" w:space="0" w:color="auto"/>
              <w:left w:val="nil"/>
              <w:bottom w:val="single" w:sz="4" w:space="0" w:color="auto"/>
              <w:right w:val="nil"/>
            </w:tcBorders>
            <w:shd w:val="clear" w:color="auto" w:fill="FFFFFF" w:themeFill="background1"/>
          </w:tcPr>
          <w:p w14:paraId="058E52C0" w14:textId="011B0A54" w:rsidR="00AB63DB" w:rsidRPr="000A01D2" w:rsidRDefault="00AB63DB" w:rsidP="000A01D2">
            <w:pPr>
              <w:spacing w:line="480" w:lineRule="auto"/>
              <w:rPr>
                <w:sz w:val="24"/>
                <w:szCs w:val="24"/>
              </w:rPr>
            </w:pPr>
            <w:r w:rsidRPr="000A01D2">
              <w:rPr>
                <w:sz w:val="24"/>
                <w:szCs w:val="24"/>
              </w:rPr>
              <w:t>El demandante pretende</w:t>
            </w:r>
            <w:r w:rsidR="00C91893" w:rsidRPr="000A01D2">
              <w:rPr>
                <w:sz w:val="24"/>
                <w:szCs w:val="24"/>
              </w:rPr>
              <w:t xml:space="preserve">: </w:t>
            </w:r>
            <w:r w:rsidRPr="000A01D2">
              <w:rPr>
                <w:sz w:val="24"/>
                <w:szCs w:val="24"/>
              </w:rPr>
              <w:t xml:space="preserve">nulidad de traslado de régimen, indemnización de perjuicios, pensión de vejez e intereses moratorios. </w:t>
            </w:r>
          </w:p>
          <w:p w14:paraId="400941F4" w14:textId="3A56F87D" w:rsidR="00AB63DB" w:rsidRPr="000A01D2" w:rsidRDefault="00AB63DB" w:rsidP="000A01D2">
            <w:pPr>
              <w:spacing w:line="480" w:lineRule="auto"/>
              <w:rPr>
                <w:sz w:val="24"/>
                <w:szCs w:val="24"/>
              </w:rPr>
            </w:pPr>
            <w:r w:rsidRPr="000A01D2">
              <w:rPr>
                <w:sz w:val="24"/>
                <w:szCs w:val="24"/>
              </w:rPr>
              <w:t xml:space="preserve">Señala que prestó servicios a entidades publicas, cumplió los </w:t>
            </w:r>
            <w:r w:rsidRPr="000A01D2">
              <w:rPr>
                <w:sz w:val="24"/>
                <w:szCs w:val="24"/>
              </w:rPr>
              <w:lastRenderedPageBreak/>
              <w:t xml:space="preserve">requisitos de </w:t>
            </w:r>
            <w:r w:rsidR="00C5493B" w:rsidRPr="000A01D2">
              <w:rPr>
                <w:sz w:val="24"/>
                <w:szCs w:val="24"/>
              </w:rPr>
              <w:t>para pensionarse</w:t>
            </w:r>
            <w:r w:rsidRPr="000A01D2">
              <w:rPr>
                <w:sz w:val="24"/>
                <w:szCs w:val="24"/>
              </w:rPr>
              <w:t xml:space="preserve"> el 14 de septiembre de 1996 con ley 33 de 1985. El promotor de PORVENIR S.A lo indujo a error para que se trasladara de régimen, firmó el formulario cuando ya hab</w:t>
            </w:r>
            <w:r w:rsidR="00F42E7C">
              <w:rPr>
                <w:sz w:val="24"/>
                <w:szCs w:val="24"/>
              </w:rPr>
              <w:t>í</w:t>
            </w:r>
            <w:r w:rsidRPr="000A01D2">
              <w:rPr>
                <w:sz w:val="24"/>
                <w:szCs w:val="24"/>
              </w:rPr>
              <w:t>a cumplido los requisitos para acceder a la pensi</w:t>
            </w:r>
            <w:r w:rsidR="00F42E7C">
              <w:rPr>
                <w:sz w:val="24"/>
                <w:szCs w:val="24"/>
              </w:rPr>
              <w:t>ó</w:t>
            </w:r>
            <w:r w:rsidRPr="000A01D2">
              <w:rPr>
                <w:sz w:val="24"/>
                <w:szCs w:val="24"/>
              </w:rPr>
              <w:t>n, se retir</w:t>
            </w:r>
            <w:r w:rsidR="00F42E7C">
              <w:rPr>
                <w:sz w:val="24"/>
                <w:szCs w:val="24"/>
              </w:rPr>
              <w:t>ó</w:t>
            </w:r>
            <w:r w:rsidRPr="000A01D2">
              <w:rPr>
                <w:sz w:val="24"/>
                <w:szCs w:val="24"/>
              </w:rPr>
              <w:t xml:space="preserve"> del servicio el 10 de julio del 2001, solicitó pensión y le </w:t>
            </w:r>
            <w:r w:rsidR="00F42E7C">
              <w:rPr>
                <w:sz w:val="24"/>
                <w:szCs w:val="24"/>
              </w:rPr>
              <w:t xml:space="preserve">fue </w:t>
            </w:r>
            <w:r w:rsidRPr="000A01D2">
              <w:rPr>
                <w:sz w:val="24"/>
                <w:szCs w:val="24"/>
              </w:rPr>
              <w:t xml:space="preserve">reconocida en un 50% inferior a lo que le había sido prometido por PORVENIR S.A. </w:t>
            </w:r>
          </w:p>
          <w:p w14:paraId="3E33FBF1" w14:textId="1FF89B37" w:rsidR="00AB63DB" w:rsidRPr="000A01D2" w:rsidRDefault="00AB63DB" w:rsidP="000A01D2">
            <w:pPr>
              <w:spacing w:line="480" w:lineRule="auto"/>
              <w:rPr>
                <w:sz w:val="24"/>
                <w:szCs w:val="24"/>
              </w:rPr>
            </w:pPr>
            <w:r w:rsidRPr="000A01D2">
              <w:rPr>
                <w:sz w:val="24"/>
                <w:szCs w:val="24"/>
              </w:rPr>
              <w:t>PORVENIR S.A</w:t>
            </w:r>
            <w:r w:rsidR="00F42E7C">
              <w:rPr>
                <w:sz w:val="24"/>
                <w:szCs w:val="24"/>
              </w:rPr>
              <w:t>.</w:t>
            </w:r>
            <w:r w:rsidRPr="000A01D2">
              <w:rPr>
                <w:sz w:val="24"/>
                <w:szCs w:val="24"/>
              </w:rPr>
              <w:t xml:space="preserve"> se opone a la totalidad de las pretensiones </w:t>
            </w:r>
            <w:r w:rsidR="005D6A29" w:rsidRPr="000A01D2">
              <w:rPr>
                <w:sz w:val="24"/>
                <w:szCs w:val="24"/>
              </w:rPr>
              <w:t xml:space="preserve">y propone como excepciones </w:t>
            </w:r>
            <w:r w:rsidR="00F42E7C">
              <w:rPr>
                <w:sz w:val="24"/>
                <w:szCs w:val="24"/>
              </w:rPr>
              <w:t xml:space="preserve">la </w:t>
            </w:r>
            <w:r w:rsidR="005D6A29" w:rsidRPr="000A01D2">
              <w:rPr>
                <w:sz w:val="24"/>
                <w:szCs w:val="24"/>
              </w:rPr>
              <w:t>i</w:t>
            </w:r>
            <w:r w:rsidR="006F0D07" w:rsidRPr="000A01D2">
              <w:rPr>
                <w:sz w:val="24"/>
                <w:szCs w:val="24"/>
              </w:rPr>
              <w:t>nap</w:t>
            </w:r>
            <w:r w:rsidRPr="000A01D2">
              <w:rPr>
                <w:sz w:val="24"/>
                <w:szCs w:val="24"/>
              </w:rPr>
              <w:t xml:space="preserve">licabilidad del régimen de transición, cobro de lo no debido, inexistencia de la obligación e inexistencia de causa jurídica. </w:t>
            </w:r>
          </w:p>
        </w:tc>
      </w:tr>
      <w:tr w:rsidR="00AB63DB" w:rsidRPr="000A01D2" w14:paraId="5A61602C" w14:textId="77777777" w:rsidTr="000A01D2">
        <w:tc>
          <w:tcPr>
            <w:tcW w:w="0" w:type="auto"/>
            <w:tcBorders>
              <w:top w:val="single" w:sz="4" w:space="0" w:color="auto"/>
              <w:left w:val="nil"/>
              <w:bottom w:val="single" w:sz="4" w:space="0" w:color="auto"/>
              <w:right w:val="nil"/>
            </w:tcBorders>
            <w:shd w:val="clear" w:color="auto" w:fill="FFFFFF" w:themeFill="background1"/>
          </w:tcPr>
          <w:p w14:paraId="3B9D8849" w14:textId="06284313" w:rsidR="00AB63DB" w:rsidRPr="000A01D2" w:rsidRDefault="00AB63DB" w:rsidP="000A01D2">
            <w:pPr>
              <w:spacing w:line="480" w:lineRule="auto"/>
              <w:rPr>
                <w:b/>
                <w:sz w:val="24"/>
                <w:szCs w:val="24"/>
              </w:rPr>
            </w:pPr>
            <w:r w:rsidRPr="000A01D2">
              <w:rPr>
                <w:b/>
                <w:sz w:val="24"/>
                <w:szCs w:val="24"/>
              </w:rPr>
              <w:lastRenderedPageBreak/>
              <w:t xml:space="preserve">Decisiones </w:t>
            </w:r>
            <w:r w:rsidR="00F057A6" w:rsidRPr="000A01D2">
              <w:rPr>
                <w:b/>
                <w:sz w:val="24"/>
                <w:szCs w:val="24"/>
              </w:rPr>
              <w:t>de instancia</w:t>
            </w:r>
          </w:p>
        </w:tc>
        <w:tc>
          <w:tcPr>
            <w:tcW w:w="0" w:type="auto"/>
            <w:tcBorders>
              <w:top w:val="single" w:sz="4" w:space="0" w:color="auto"/>
              <w:left w:val="nil"/>
              <w:bottom w:val="single" w:sz="4" w:space="0" w:color="auto"/>
              <w:right w:val="nil"/>
            </w:tcBorders>
            <w:shd w:val="clear" w:color="auto" w:fill="FFFFFF" w:themeFill="background1"/>
          </w:tcPr>
          <w:p w14:paraId="258239DA" w14:textId="60817775" w:rsidR="00AB63DB" w:rsidRPr="000A01D2" w:rsidRDefault="00F057A6" w:rsidP="000A01D2">
            <w:pPr>
              <w:spacing w:line="480" w:lineRule="auto"/>
              <w:rPr>
                <w:bCs/>
                <w:iCs/>
                <w:sz w:val="24"/>
                <w:szCs w:val="24"/>
              </w:rPr>
            </w:pPr>
            <w:r w:rsidRPr="000A01D2">
              <w:rPr>
                <w:b/>
                <w:bCs/>
                <w:iCs/>
                <w:sz w:val="24"/>
                <w:szCs w:val="24"/>
              </w:rPr>
              <w:t>Primera Instancia:</w:t>
            </w:r>
            <w:r w:rsidR="00AB63DB" w:rsidRPr="000A01D2">
              <w:rPr>
                <w:bCs/>
                <w:iCs/>
                <w:sz w:val="24"/>
                <w:szCs w:val="24"/>
              </w:rPr>
              <w:t xml:space="preserve"> El </w:t>
            </w:r>
            <w:r w:rsidR="00C91893" w:rsidRPr="000A01D2">
              <w:rPr>
                <w:bCs/>
                <w:iCs/>
                <w:sz w:val="24"/>
                <w:szCs w:val="24"/>
              </w:rPr>
              <w:t xml:space="preserve">Juzgado Segundo </w:t>
            </w:r>
            <w:r w:rsidR="00AB63DB" w:rsidRPr="000A01D2">
              <w:rPr>
                <w:bCs/>
                <w:iCs/>
                <w:sz w:val="24"/>
                <w:szCs w:val="24"/>
              </w:rPr>
              <w:t xml:space="preserve">Laboral del Circuito de Pereira ABSOLVIÓ a PORVENIR S.A de todas las pretensiones. </w:t>
            </w:r>
          </w:p>
          <w:p w14:paraId="0FF2382A" w14:textId="626B1277" w:rsidR="00AB63DB" w:rsidRPr="000A01D2" w:rsidRDefault="00F057A6" w:rsidP="000A01D2">
            <w:pPr>
              <w:spacing w:line="480" w:lineRule="auto"/>
              <w:rPr>
                <w:bCs/>
                <w:iCs/>
                <w:sz w:val="24"/>
                <w:szCs w:val="24"/>
              </w:rPr>
            </w:pPr>
            <w:r w:rsidRPr="000A01D2">
              <w:rPr>
                <w:b/>
                <w:bCs/>
                <w:iCs/>
                <w:sz w:val="24"/>
                <w:szCs w:val="24"/>
              </w:rPr>
              <w:t>Segunda Instancia:</w:t>
            </w:r>
            <w:r w:rsidRPr="000A01D2">
              <w:rPr>
                <w:bCs/>
                <w:iCs/>
                <w:sz w:val="24"/>
                <w:szCs w:val="24"/>
              </w:rPr>
              <w:t xml:space="preserve"> </w:t>
            </w:r>
            <w:r w:rsidR="005D6A29" w:rsidRPr="000A01D2">
              <w:rPr>
                <w:bCs/>
                <w:iCs/>
                <w:sz w:val="24"/>
                <w:szCs w:val="24"/>
              </w:rPr>
              <w:t>E</w:t>
            </w:r>
            <w:r w:rsidR="00AB63DB" w:rsidRPr="000A01D2">
              <w:rPr>
                <w:bCs/>
                <w:iCs/>
                <w:sz w:val="24"/>
                <w:szCs w:val="24"/>
              </w:rPr>
              <w:t>l Tribunal Superior de Pereira confirmó el fallo d</w:t>
            </w:r>
            <w:r w:rsidR="005D6A29" w:rsidRPr="000A01D2">
              <w:rPr>
                <w:bCs/>
                <w:iCs/>
                <w:sz w:val="24"/>
                <w:szCs w:val="24"/>
              </w:rPr>
              <w:t>e primer grado en su integridad.</w:t>
            </w:r>
          </w:p>
        </w:tc>
      </w:tr>
      <w:tr w:rsidR="00AB63DB" w:rsidRPr="000A01D2" w14:paraId="57483F43" w14:textId="77777777" w:rsidTr="000A01D2">
        <w:tc>
          <w:tcPr>
            <w:tcW w:w="0" w:type="auto"/>
            <w:tcBorders>
              <w:top w:val="single" w:sz="4" w:space="0" w:color="auto"/>
              <w:left w:val="nil"/>
              <w:bottom w:val="single" w:sz="4" w:space="0" w:color="auto"/>
              <w:right w:val="nil"/>
            </w:tcBorders>
            <w:shd w:val="clear" w:color="auto" w:fill="FFFFFF" w:themeFill="background1"/>
          </w:tcPr>
          <w:p w14:paraId="64B36BAC" w14:textId="77777777" w:rsidR="00AB63DB" w:rsidRPr="000A01D2" w:rsidRDefault="00AB63DB" w:rsidP="000A01D2">
            <w:pPr>
              <w:spacing w:line="480" w:lineRule="auto"/>
              <w:rPr>
                <w:b/>
                <w:sz w:val="24"/>
                <w:szCs w:val="24"/>
              </w:rPr>
            </w:pPr>
            <w:r w:rsidRPr="000A01D2">
              <w:rPr>
                <w:b/>
                <w:sz w:val="24"/>
                <w:szCs w:val="24"/>
              </w:rPr>
              <w:t>Recurso de casación</w:t>
            </w:r>
          </w:p>
        </w:tc>
        <w:tc>
          <w:tcPr>
            <w:tcW w:w="0" w:type="auto"/>
            <w:tcBorders>
              <w:top w:val="single" w:sz="4" w:space="0" w:color="auto"/>
              <w:left w:val="nil"/>
              <w:bottom w:val="single" w:sz="4" w:space="0" w:color="auto"/>
              <w:right w:val="nil"/>
            </w:tcBorders>
            <w:shd w:val="clear" w:color="auto" w:fill="FFFFFF" w:themeFill="background1"/>
          </w:tcPr>
          <w:p w14:paraId="2C5BC2AD" w14:textId="30E323DD" w:rsidR="00AB63DB" w:rsidRPr="000A01D2" w:rsidRDefault="005D6A29" w:rsidP="000A01D2">
            <w:pPr>
              <w:spacing w:line="480" w:lineRule="auto"/>
              <w:rPr>
                <w:bCs/>
                <w:iCs/>
                <w:sz w:val="24"/>
                <w:szCs w:val="24"/>
              </w:rPr>
            </w:pPr>
            <w:r w:rsidRPr="000A01D2">
              <w:rPr>
                <w:bCs/>
                <w:iCs/>
                <w:sz w:val="24"/>
                <w:szCs w:val="24"/>
              </w:rPr>
              <w:t>Los argumentos giran en torno a la</w:t>
            </w:r>
            <w:r w:rsidR="00AB63DB" w:rsidRPr="000A01D2">
              <w:rPr>
                <w:bCs/>
                <w:iCs/>
                <w:sz w:val="24"/>
                <w:szCs w:val="24"/>
              </w:rPr>
              <w:t xml:space="preserve"> falta de aplicación o infracci</w:t>
            </w:r>
            <w:r w:rsidR="00F42E7C">
              <w:rPr>
                <w:bCs/>
                <w:iCs/>
                <w:sz w:val="24"/>
                <w:szCs w:val="24"/>
              </w:rPr>
              <w:t>ó</w:t>
            </w:r>
            <w:r w:rsidR="00AB63DB" w:rsidRPr="000A01D2">
              <w:rPr>
                <w:bCs/>
                <w:iCs/>
                <w:sz w:val="24"/>
                <w:szCs w:val="24"/>
              </w:rPr>
              <w:t>n directa de los art</w:t>
            </w:r>
            <w:r w:rsidR="00F42E7C">
              <w:rPr>
                <w:bCs/>
                <w:iCs/>
                <w:sz w:val="24"/>
                <w:szCs w:val="24"/>
              </w:rPr>
              <w:t>í</w:t>
            </w:r>
            <w:r w:rsidR="00AB63DB" w:rsidRPr="000A01D2">
              <w:rPr>
                <w:bCs/>
                <w:iCs/>
                <w:sz w:val="24"/>
                <w:szCs w:val="24"/>
              </w:rPr>
              <w:t xml:space="preserve">culos 48 y 53 de la </w:t>
            </w:r>
            <w:r w:rsidR="00F42E7C">
              <w:rPr>
                <w:bCs/>
                <w:iCs/>
                <w:sz w:val="24"/>
                <w:szCs w:val="24"/>
              </w:rPr>
              <w:t>C</w:t>
            </w:r>
            <w:r w:rsidR="00AB63DB" w:rsidRPr="000A01D2">
              <w:rPr>
                <w:bCs/>
                <w:iCs/>
                <w:sz w:val="24"/>
                <w:szCs w:val="24"/>
              </w:rPr>
              <w:t>onstitución, el art</w:t>
            </w:r>
            <w:r w:rsidR="00F42E7C">
              <w:rPr>
                <w:bCs/>
                <w:iCs/>
                <w:sz w:val="24"/>
                <w:szCs w:val="24"/>
              </w:rPr>
              <w:t>í</w:t>
            </w:r>
            <w:r w:rsidR="00AB63DB" w:rsidRPr="000A01D2">
              <w:rPr>
                <w:bCs/>
                <w:iCs/>
                <w:sz w:val="24"/>
                <w:szCs w:val="24"/>
              </w:rPr>
              <w:t>culo 340 del C</w:t>
            </w:r>
            <w:r w:rsidR="00F42E7C">
              <w:rPr>
                <w:bCs/>
                <w:iCs/>
                <w:sz w:val="24"/>
                <w:szCs w:val="24"/>
              </w:rPr>
              <w:t>ó</w:t>
            </w:r>
            <w:r w:rsidR="00AB63DB" w:rsidRPr="000A01D2">
              <w:rPr>
                <w:bCs/>
                <w:iCs/>
                <w:sz w:val="24"/>
                <w:szCs w:val="24"/>
              </w:rPr>
              <w:t xml:space="preserve">digo Sustantivo del </w:t>
            </w:r>
            <w:r w:rsidR="00F42E7C">
              <w:rPr>
                <w:bCs/>
                <w:iCs/>
                <w:sz w:val="24"/>
                <w:szCs w:val="24"/>
              </w:rPr>
              <w:t>T</w:t>
            </w:r>
            <w:r w:rsidR="00AB63DB" w:rsidRPr="000A01D2">
              <w:rPr>
                <w:bCs/>
                <w:iCs/>
                <w:sz w:val="24"/>
                <w:szCs w:val="24"/>
              </w:rPr>
              <w:t>rabajo, el 11 del Decreto 2127 de 1945; el 1, 3</w:t>
            </w:r>
            <w:r w:rsidRPr="000A01D2">
              <w:rPr>
                <w:bCs/>
                <w:iCs/>
                <w:sz w:val="24"/>
                <w:szCs w:val="24"/>
              </w:rPr>
              <w:t xml:space="preserve">, 11 y 36 de la ley 100 de 1993. </w:t>
            </w:r>
            <w:r w:rsidR="00AB63DB" w:rsidRPr="000A01D2">
              <w:rPr>
                <w:bCs/>
                <w:iCs/>
                <w:sz w:val="24"/>
                <w:szCs w:val="24"/>
              </w:rPr>
              <w:t xml:space="preserve">Afirma que se valoró </w:t>
            </w:r>
            <w:r w:rsidRPr="000A01D2">
              <w:rPr>
                <w:bCs/>
                <w:iCs/>
                <w:sz w:val="24"/>
                <w:szCs w:val="24"/>
              </w:rPr>
              <w:t>erróneamente</w:t>
            </w:r>
            <w:r w:rsidR="00AB63DB" w:rsidRPr="000A01D2">
              <w:rPr>
                <w:bCs/>
                <w:iCs/>
                <w:sz w:val="24"/>
                <w:szCs w:val="24"/>
              </w:rPr>
              <w:t xml:space="preserve"> el documento probatori</w:t>
            </w:r>
            <w:r w:rsidRPr="000A01D2">
              <w:rPr>
                <w:bCs/>
                <w:iCs/>
                <w:sz w:val="24"/>
                <w:szCs w:val="24"/>
              </w:rPr>
              <w:t>o</w:t>
            </w:r>
            <w:r w:rsidR="00AB63DB" w:rsidRPr="000A01D2">
              <w:rPr>
                <w:bCs/>
                <w:iCs/>
                <w:sz w:val="24"/>
                <w:szCs w:val="24"/>
              </w:rPr>
              <w:t xml:space="preserve"> porque en el formulario de afiliación estaba la proyección pensional que demostraba las ventajas y lo cual lo  indujo a</w:t>
            </w:r>
            <w:r w:rsidR="003F6831">
              <w:rPr>
                <w:bCs/>
                <w:iCs/>
                <w:sz w:val="24"/>
                <w:szCs w:val="24"/>
              </w:rPr>
              <w:t xml:space="preserve">l </w:t>
            </w:r>
            <w:r w:rsidR="00AB63DB" w:rsidRPr="000A01D2">
              <w:rPr>
                <w:bCs/>
                <w:iCs/>
                <w:sz w:val="24"/>
                <w:szCs w:val="24"/>
              </w:rPr>
              <w:lastRenderedPageBreak/>
              <w:t xml:space="preserve">error. </w:t>
            </w:r>
          </w:p>
        </w:tc>
      </w:tr>
      <w:tr w:rsidR="00AB63DB" w:rsidRPr="000A01D2" w14:paraId="4F860B2F" w14:textId="77777777" w:rsidTr="000A01D2">
        <w:tc>
          <w:tcPr>
            <w:tcW w:w="0" w:type="auto"/>
            <w:tcBorders>
              <w:top w:val="single" w:sz="4" w:space="0" w:color="auto"/>
              <w:left w:val="nil"/>
              <w:bottom w:val="single" w:sz="4" w:space="0" w:color="auto"/>
              <w:right w:val="nil"/>
            </w:tcBorders>
            <w:shd w:val="clear" w:color="auto" w:fill="FFFFFF" w:themeFill="background1"/>
            <w:hideMark/>
          </w:tcPr>
          <w:p w14:paraId="09AFD412" w14:textId="7C87786C" w:rsidR="00AB63DB" w:rsidRPr="000A01D2" w:rsidRDefault="00AC125F" w:rsidP="000A01D2">
            <w:pPr>
              <w:spacing w:line="480" w:lineRule="auto"/>
              <w:rPr>
                <w:b/>
                <w:sz w:val="24"/>
                <w:szCs w:val="24"/>
              </w:rPr>
            </w:pPr>
            <w:r w:rsidRPr="000A01D2">
              <w:rPr>
                <w:b/>
                <w:sz w:val="24"/>
                <w:szCs w:val="24"/>
              </w:rPr>
              <w:lastRenderedPageBreak/>
              <w:t>Decisión</w:t>
            </w:r>
            <w:r w:rsidR="00703B7E" w:rsidRPr="000A01D2">
              <w:rPr>
                <w:b/>
                <w:sz w:val="24"/>
                <w:szCs w:val="24"/>
              </w:rPr>
              <w:t xml:space="preserve"> en casación</w:t>
            </w:r>
          </w:p>
        </w:tc>
        <w:tc>
          <w:tcPr>
            <w:tcW w:w="0" w:type="auto"/>
            <w:tcBorders>
              <w:top w:val="single" w:sz="4" w:space="0" w:color="auto"/>
              <w:left w:val="nil"/>
              <w:bottom w:val="single" w:sz="4" w:space="0" w:color="auto"/>
              <w:right w:val="nil"/>
            </w:tcBorders>
            <w:shd w:val="clear" w:color="auto" w:fill="FFFFFF" w:themeFill="background1"/>
          </w:tcPr>
          <w:p w14:paraId="39676B24" w14:textId="7420CF1D" w:rsidR="00AB63DB" w:rsidRPr="000A01D2" w:rsidRDefault="00AB63DB" w:rsidP="007A69A6">
            <w:pPr>
              <w:spacing w:line="480" w:lineRule="auto"/>
              <w:rPr>
                <w:b/>
                <w:bCs/>
                <w:iCs/>
                <w:sz w:val="24"/>
                <w:szCs w:val="24"/>
              </w:rPr>
            </w:pPr>
            <w:r w:rsidRPr="000A01D2">
              <w:rPr>
                <w:bCs/>
                <w:iCs/>
                <w:sz w:val="24"/>
                <w:szCs w:val="24"/>
              </w:rPr>
              <w:t>CASA</w:t>
            </w:r>
            <w:r w:rsidR="00236FE3" w:rsidRPr="000A01D2">
              <w:rPr>
                <w:bCs/>
                <w:iCs/>
                <w:sz w:val="24"/>
                <w:szCs w:val="24"/>
              </w:rPr>
              <w:t xml:space="preserve"> la Sentencia proferida por el  Tribunal Superior de Pereira </w:t>
            </w:r>
            <w:r w:rsidR="00AC125F" w:rsidRPr="000A01D2">
              <w:rPr>
                <w:bCs/>
                <w:iCs/>
                <w:sz w:val="24"/>
                <w:szCs w:val="24"/>
              </w:rPr>
              <w:t>y</w:t>
            </w:r>
            <w:r w:rsidR="00C91893" w:rsidRPr="000A01D2">
              <w:rPr>
                <w:bCs/>
                <w:iCs/>
                <w:sz w:val="24"/>
                <w:szCs w:val="24"/>
              </w:rPr>
              <w:t xml:space="preserve"> REVOCA</w:t>
            </w:r>
            <w:r w:rsidR="00F057A6" w:rsidRPr="000A01D2">
              <w:rPr>
                <w:bCs/>
                <w:iCs/>
                <w:sz w:val="24"/>
                <w:szCs w:val="24"/>
              </w:rPr>
              <w:t xml:space="preserve">  </w:t>
            </w:r>
            <w:r w:rsidR="00F42E7C">
              <w:rPr>
                <w:bCs/>
                <w:iCs/>
                <w:sz w:val="24"/>
                <w:szCs w:val="24"/>
              </w:rPr>
              <w:t xml:space="preserve">la del </w:t>
            </w:r>
            <w:r w:rsidR="00F057A6" w:rsidRPr="000A01D2">
              <w:rPr>
                <w:bCs/>
                <w:iCs/>
                <w:sz w:val="24"/>
                <w:szCs w:val="24"/>
              </w:rPr>
              <w:t>Juzgado Segundo Laboral del Circuito de Pereira</w:t>
            </w:r>
            <w:r w:rsidR="007A69A6">
              <w:rPr>
                <w:bCs/>
                <w:iCs/>
                <w:sz w:val="24"/>
                <w:szCs w:val="24"/>
              </w:rPr>
              <w:t>.</w:t>
            </w:r>
            <w:r w:rsidR="00C91893" w:rsidRPr="000A01D2">
              <w:rPr>
                <w:sz w:val="24"/>
                <w:szCs w:val="24"/>
                <w:lang w:val="es-ES"/>
              </w:rPr>
              <w:t xml:space="preserve">  </w:t>
            </w:r>
          </w:p>
        </w:tc>
      </w:tr>
      <w:tr w:rsidR="005D6A29" w:rsidRPr="000A01D2" w14:paraId="273DE112" w14:textId="77777777" w:rsidTr="00FD720D">
        <w:tc>
          <w:tcPr>
            <w:tcW w:w="0" w:type="auto"/>
            <w:tcBorders>
              <w:top w:val="single" w:sz="4" w:space="0" w:color="auto"/>
              <w:left w:val="nil"/>
              <w:bottom w:val="single" w:sz="4" w:space="0" w:color="auto"/>
              <w:right w:val="nil"/>
            </w:tcBorders>
            <w:shd w:val="clear" w:color="auto" w:fill="FFFFFF" w:themeFill="background1"/>
          </w:tcPr>
          <w:p w14:paraId="6D7AC842" w14:textId="3A1AE5CF" w:rsidR="005D6A29" w:rsidRPr="000A01D2" w:rsidRDefault="005D6A29" w:rsidP="000A01D2">
            <w:pPr>
              <w:spacing w:line="480" w:lineRule="auto"/>
              <w:rPr>
                <w:b/>
                <w:sz w:val="24"/>
                <w:szCs w:val="24"/>
              </w:rPr>
            </w:pPr>
            <w:r w:rsidRPr="000A01D2">
              <w:rPr>
                <w:b/>
                <w:sz w:val="24"/>
                <w:szCs w:val="24"/>
              </w:rPr>
              <w:t>Problema jurídico</w:t>
            </w:r>
          </w:p>
        </w:tc>
        <w:tc>
          <w:tcPr>
            <w:tcW w:w="0" w:type="auto"/>
            <w:tcBorders>
              <w:top w:val="single" w:sz="4" w:space="0" w:color="auto"/>
              <w:left w:val="nil"/>
              <w:bottom w:val="single" w:sz="4" w:space="0" w:color="auto"/>
              <w:right w:val="nil"/>
            </w:tcBorders>
            <w:shd w:val="clear" w:color="auto" w:fill="FFFFFF" w:themeFill="background1"/>
          </w:tcPr>
          <w:p w14:paraId="1A617122" w14:textId="7D4E8E0B" w:rsidR="005D6A29" w:rsidRPr="000A01D2" w:rsidRDefault="005D6A29" w:rsidP="000A01D2">
            <w:pPr>
              <w:spacing w:line="480" w:lineRule="auto"/>
              <w:rPr>
                <w:sz w:val="24"/>
                <w:szCs w:val="24"/>
                <w:lang w:val="es-ES"/>
              </w:rPr>
            </w:pPr>
            <w:r w:rsidRPr="000A01D2">
              <w:rPr>
                <w:sz w:val="24"/>
                <w:szCs w:val="24"/>
                <w:lang w:val="es-ES"/>
              </w:rPr>
              <w:t xml:space="preserve">Dilucidar si hubo o no engaño por parte del promotor de la AFP. </w:t>
            </w:r>
          </w:p>
        </w:tc>
      </w:tr>
      <w:tr w:rsidR="00AB63DB" w:rsidRPr="00FD720D" w14:paraId="2DAA598B" w14:textId="77777777" w:rsidTr="00FD720D">
        <w:tc>
          <w:tcPr>
            <w:tcW w:w="0" w:type="auto"/>
            <w:tcBorders>
              <w:top w:val="single" w:sz="4" w:space="0" w:color="auto"/>
              <w:left w:val="nil"/>
              <w:bottom w:val="single" w:sz="4" w:space="0" w:color="auto"/>
              <w:right w:val="nil"/>
            </w:tcBorders>
            <w:shd w:val="clear" w:color="auto" w:fill="FFFFFF" w:themeFill="background1"/>
          </w:tcPr>
          <w:p w14:paraId="6467F25F" w14:textId="34EF1A3B" w:rsidR="00AB63DB" w:rsidRPr="00FD720D" w:rsidRDefault="005D6A29" w:rsidP="000A01D2">
            <w:pPr>
              <w:spacing w:line="480" w:lineRule="auto"/>
              <w:rPr>
                <w:b/>
                <w:sz w:val="24"/>
                <w:szCs w:val="24"/>
              </w:rPr>
            </w:pPr>
            <w:r w:rsidRPr="00FD720D">
              <w:rPr>
                <w:b/>
                <w:sz w:val="24"/>
                <w:szCs w:val="24"/>
              </w:rPr>
              <w:t>Consideraciones</w:t>
            </w:r>
          </w:p>
        </w:tc>
        <w:tc>
          <w:tcPr>
            <w:tcW w:w="0" w:type="auto"/>
            <w:tcBorders>
              <w:top w:val="single" w:sz="4" w:space="0" w:color="auto"/>
              <w:left w:val="nil"/>
              <w:bottom w:val="single" w:sz="4" w:space="0" w:color="auto"/>
              <w:right w:val="nil"/>
            </w:tcBorders>
            <w:shd w:val="clear" w:color="auto" w:fill="FFFFFF" w:themeFill="background1"/>
          </w:tcPr>
          <w:p w14:paraId="2020A203" w14:textId="1B2128B4" w:rsidR="00AB63DB" w:rsidRPr="00FD720D" w:rsidRDefault="005D6A29" w:rsidP="00FD720D">
            <w:pPr>
              <w:spacing w:line="480" w:lineRule="auto"/>
              <w:rPr>
                <w:sz w:val="24"/>
                <w:szCs w:val="24"/>
                <w:lang w:val="es-ES"/>
              </w:rPr>
            </w:pPr>
            <w:r w:rsidRPr="00FD720D">
              <w:rPr>
                <w:sz w:val="24"/>
                <w:szCs w:val="24"/>
                <w:lang w:val="es-ES"/>
              </w:rPr>
              <w:t>L</w:t>
            </w:r>
            <w:r w:rsidR="00AB63DB" w:rsidRPr="00FD720D">
              <w:rPr>
                <w:sz w:val="24"/>
                <w:szCs w:val="24"/>
                <w:lang w:val="es-ES"/>
              </w:rPr>
              <w:t>a AFP falta a su deber de proporciona</w:t>
            </w:r>
            <w:r w:rsidRPr="00FD720D">
              <w:rPr>
                <w:sz w:val="24"/>
                <w:szCs w:val="24"/>
                <w:lang w:val="es-ES"/>
              </w:rPr>
              <w:t>r una información completa, pues</w:t>
            </w:r>
            <w:r w:rsidR="00AB63DB" w:rsidRPr="00FD720D">
              <w:rPr>
                <w:sz w:val="24"/>
                <w:szCs w:val="24"/>
                <w:lang w:val="es-ES"/>
              </w:rPr>
              <w:t xml:space="preserve"> en la proyección pensional</w:t>
            </w:r>
            <w:r w:rsidRPr="00FD720D">
              <w:rPr>
                <w:sz w:val="24"/>
                <w:szCs w:val="24"/>
                <w:lang w:val="es-ES"/>
              </w:rPr>
              <w:t>,</w:t>
            </w:r>
            <w:r w:rsidR="00AB63DB" w:rsidRPr="00FD720D">
              <w:rPr>
                <w:sz w:val="24"/>
                <w:szCs w:val="24"/>
                <w:lang w:val="es-ES"/>
              </w:rPr>
              <w:t xml:space="preserve"> no advirtió que el mayor valor pensional que ofrecía PORVENIR era bajo la modalidad de retiro programado con un monto posible y que en ningún caso sería definitivo. </w:t>
            </w:r>
            <w:r w:rsidRPr="00FD720D">
              <w:rPr>
                <w:sz w:val="24"/>
                <w:szCs w:val="24"/>
                <w:lang w:val="es-ES"/>
              </w:rPr>
              <w:t>Se</w:t>
            </w:r>
            <w:r w:rsidR="00AB63DB" w:rsidRPr="00FD720D">
              <w:rPr>
                <w:sz w:val="24"/>
                <w:szCs w:val="24"/>
                <w:lang w:val="es-ES"/>
              </w:rPr>
              <w:t xml:space="preserve">gún el artículo 97 de la ley 100 de 1993 los deberes de las AFP frente a los que se vinculen a ellas surgen desde las etapas previas y preparatorias a la formalización de su afiliación a la administradora.  </w:t>
            </w:r>
          </w:p>
          <w:p w14:paraId="691F6D6A" w14:textId="1FADF92A" w:rsidR="00AB63DB" w:rsidRPr="00FD720D" w:rsidRDefault="005D6A29" w:rsidP="00FD720D">
            <w:pPr>
              <w:spacing w:line="480" w:lineRule="auto"/>
              <w:rPr>
                <w:sz w:val="24"/>
                <w:szCs w:val="24"/>
                <w:lang w:val="es-ES"/>
              </w:rPr>
            </w:pPr>
            <w:r w:rsidRPr="00FD720D">
              <w:rPr>
                <w:sz w:val="24"/>
                <w:szCs w:val="24"/>
                <w:lang w:val="es-ES"/>
              </w:rPr>
              <w:t>La</w:t>
            </w:r>
            <w:r w:rsidR="00AB63DB" w:rsidRPr="00FD720D">
              <w:rPr>
                <w:sz w:val="24"/>
                <w:szCs w:val="24"/>
                <w:lang w:val="es-ES"/>
              </w:rPr>
              <w:t xml:space="preserve">s AFP están obligadas a prestar de forma eficiente, eficaz y oportuna los servicios y </w:t>
            </w:r>
            <w:r w:rsidR="00AC125F" w:rsidRPr="00FD720D">
              <w:rPr>
                <w:sz w:val="24"/>
                <w:szCs w:val="24"/>
                <w:lang w:val="es-ES"/>
              </w:rPr>
              <w:t>su</w:t>
            </w:r>
            <w:r w:rsidR="00AB63DB" w:rsidRPr="00FD720D">
              <w:rPr>
                <w:sz w:val="24"/>
                <w:szCs w:val="24"/>
                <w:lang w:val="es-ES"/>
              </w:rPr>
              <w:t xml:space="preserve"> responsabilidad es de origen profesional derivada de las obligaciones de los artículos </w:t>
            </w:r>
            <w:r w:rsidR="00AC125F" w:rsidRPr="00FD720D">
              <w:rPr>
                <w:sz w:val="24"/>
                <w:szCs w:val="24"/>
                <w:lang w:val="es-ES"/>
              </w:rPr>
              <w:t>14 y 15 del Decreto 656 de 1994.</w:t>
            </w:r>
          </w:p>
          <w:p w14:paraId="71912362" w14:textId="7C0A8275" w:rsidR="00AC125F" w:rsidRPr="00FD720D" w:rsidRDefault="00AB63DB" w:rsidP="00FD720D">
            <w:pPr>
              <w:spacing w:line="480" w:lineRule="auto"/>
              <w:rPr>
                <w:sz w:val="24"/>
                <w:szCs w:val="24"/>
                <w:lang w:val="es-ES"/>
              </w:rPr>
            </w:pPr>
            <w:r w:rsidRPr="00FD720D">
              <w:rPr>
                <w:sz w:val="24"/>
                <w:szCs w:val="24"/>
                <w:lang w:val="es-ES"/>
              </w:rPr>
              <w:t xml:space="preserve">Frente a la información </w:t>
            </w:r>
            <w:r w:rsidR="00AC125F" w:rsidRPr="00FD720D">
              <w:rPr>
                <w:sz w:val="24"/>
                <w:szCs w:val="24"/>
                <w:lang w:val="es-ES"/>
              </w:rPr>
              <w:t>se establece que debe ser</w:t>
            </w:r>
            <w:r w:rsidRPr="00FD720D">
              <w:rPr>
                <w:sz w:val="24"/>
                <w:szCs w:val="24"/>
                <w:lang w:val="es-ES"/>
              </w:rPr>
              <w:t xml:space="preserve"> completa, comprensible y prudente,</w:t>
            </w:r>
            <w:r w:rsidR="00D30EF0" w:rsidRPr="00FD720D">
              <w:rPr>
                <w:sz w:val="24"/>
                <w:szCs w:val="24"/>
                <w:lang w:val="es-ES"/>
              </w:rPr>
              <w:t xml:space="preserve"> atendiendo a la asimetría de la relación entre el afiliado y el promotor, y</w:t>
            </w:r>
            <w:r w:rsidRPr="00FD720D">
              <w:rPr>
                <w:sz w:val="24"/>
                <w:szCs w:val="24"/>
                <w:lang w:val="es-ES"/>
              </w:rPr>
              <w:t xml:space="preserve"> dando a conocer las diferentes alternativas con beneficios e inconvenientes y si fuera el caso llegar a desanimar al interesado de toma</w:t>
            </w:r>
            <w:r w:rsidR="00AC125F" w:rsidRPr="00FD720D">
              <w:rPr>
                <w:sz w:val="24"/>
                <w:szCs w:val="24"/>
                <w:lang w:val="es-ES"/>
              </w:rPr>
              <w:t xml:space="preserve">r una </w:t>
            </w:r>
            <w:r w:rsidR="00AC125F" w:rsidRPr="00FD720D">
              <w:rPr>
                <w:sz w:val="24"/>
                <w:szCs w:val="24"/>
                <w:lang w:val="es-ES"/>
              </w:rPr>
              <w:lastRenderedPageBreak/>
              <w:t>opción que lo perjudica. E</w:t>
            </w:r>
            <w:r w:rsidRPr="00FD720D">
              <w:rPr>
                <w:sz w:val="24"/>
                <w:szCs w:val="24"/>
                <w:lang w:val="es-ES"/>
              </w:rPr>
              <w:t>l engaño se produce en lo que se afirma y en los sile</w:t>
            </w:r>
            <w:r w:rsidR="00AC125F" w:rsidRPr="00FD720D">
              <w:rPr>
                <w:sz w:val="24"/>
                <w:szCs w:val="24"/>
                <w:lang w:val="es-ES"/>
              </w:rPr>
              <w:t>ncios que guarda el profesional.</w:t>
            </w:r>
          </w:p>
          <w:p w14:paraId="751A88B0" w14:textId="77777777" w:rsidR="00AB63DB" w:rsidRDefault="00D37612" w:rsidP="00FD720D">
            <w:pPr>
              <w:spacing w:line="480" w:lineRule="auto"/>
              <w:rPr>
                <w:sz w:val="24"/>
                <w:szCs w:val="24"/>
                <w:lang w:val="es-ES"/>
              </w:rPr>
            </w:pPr>
            <w:r>
              <w:rPr>
                <w:sz w:val="24"/>
                <w:szCs w:val="24"/>
                <w:lang w:val="es-ES"/>
              </w:rPr>
              <w:t>Luego</w:t>
            </w:r>
            <w:r w:rsidR="00AC125F" w:rsidRPr="00FD720D">
              <w:rPr>
                <w:sz w:val="24"/>
                <w:szCs w:val="24"/>
                <w:lang w:val="es-ES"/>
              </w:rPr>
              <w:t>, l</w:t>
            </w:r>
            <w:r w:rsidR="00AB63DB" w:rsidRPr="00FD720D">
              <w:rPr>
                <w:sz w:val="24"/>
                <w:szCs w:val="24"/>
                <w:lang w:val="es-ES"/>
              </w:rPr>
              <w:t>a diligencia debida se traduce en un traslado de la carga de la prueba del actor a la entidad demandada</w:t>
            </w:r>
            <w:r>
              <w:rPr>
                <w:sz w:val="24"/>
                <w:szCs w:val="24"/>
                <w:lang w:val="es-ES"/>
              </w:rPr>
              <w:t>, es decir, la AFP debe demostrar que la información que suministró cumplía con todos los requisitos legales.</w:t>
            </w:r>
          </w:p>
          <w:p w14:paraId="015B7BD5" w14:textId="7AA710D6" w:rsidR="00D37612" w:rsidRPr="00FD720D" w:rsidRDefault="00D37612" w:rsidP="007A69A6">
            <w:pPr>
              <w:spacing w:line="480" w:lineRule="auto"/>
              <w:rPr>
                <w:sz w:val="24"/>
                <w:szCs w:val="24"/>
                <w:lang w:val="es-ES"/>
              </w:rPr>
            </w:pPr>
            <w:r>
              <w:rPr>
                <w:sz w:val="24"/>
                <w:szCs w:val="24"/>
                <w:lang w:val="es-ES"/>
              </w:rPr>
              <w:t xml:space="preserve">Finalmente, </w:t>
            </w:r>
            <w:r w:rsidRPr="00C97613">
              <w:rPr>
                <w:sz w:val="24"/>
                <w:szCs w:val="24"/>
              </w:rPr>
              <w:t xml:space="preserve"> </w:t>
            </w:r>
            <w:r>
              <w:rPr>
                <w:sz w:val="24"/>
                <w:szCs w:val="24"/>
              </w:rPr>
              <w:t>i</w:t>
            </w:r>
            <w:r w:rsidRPr="00C97613">
              <w:rPr>
                <w:sz w:val="24"/>
                <w:szCs w:val="24"/>
              </w:rPr>
              <w:t xml:space="preserve">ndica que la AFP </w:t>
            </w:r>
            <w:r w:rsidR="007A69A6" w:rsidRPr="000A01D2">
              <w:rPr>
                <w:sz w:val="24"/>
                <w:szCs w:val="24"/>
                <w:lang w:val="es-ES"/>
              </w:rPr>
              <w:t xml:space="preserve"> </w:t>
            </w:r>
            <w:r w:rsidR="007A69A6">
              <w:rPr>
                <w:sz w:val="24"/>
                <w:szCs w:val="24"/>
                <w:lang w:val="es-ES"/>
              </w:rPr>
              <w:t>tiene el deber de</w:t>
            </w:r>
            <w:r w:rsidR="007A69A6" w:rsidRPr="000A01D2">
              <w:rPr>
                <w:sz w:val="24"/>
                <w:szCs w:val="24"/>
                <w:lang w:val="es-ES"/>
              </w:rPr>
              <w:t xml:space="preserve"> trasladar a la administradora del </w:t>
            </w:r>
            <w:r w:rsidR="007A69A6">
              <w:rPr>
                <w:sz w:val="24"/>
                <w:szCs w:val="24"/>
                <w:lang w:val="es-ES"/>
              </w:rPr>
              <w:t xml:space="preserve">RPM </w:t>
            </w:r>
            <w:r w:rsidR="007A69A6" w:rsidRPr="000A01D2">
              <w:rPr>
                <w:sz w:val="24"/>
                <w:szCs w:val="24"/>
                <w:lang w:val="es-ES"/>
              </w:rPr>
              <w:t xml:space="preserve"> los valores de la cuenta de ahorro individual del actor, sin descuento por el pago de las mesadas pensionales que se hayan efectuado; Sin embargo</w:t>
            </w:r>
            <w:r w:rsidR="00212F79">
              <w:rPr>
                <w:sz w:val="24"/>
                <w:szCs w:val="24"/>
                <w:lang w:val="es-ES"/>
              </w:rPr>
              <w:t>,</w:t>
            </w:r>
            <w:r w:rsidR="007A69A6" w:rsidRPr="000A01D2">
              <w:rPr>
                <w:sz w:val="24"/>
                <w:szCs w:val="24"/>
                <w:lang w:val="es-ES"/>
              </w:rPr>
              <w:t xml:space="preserve"> no se reconocen perjuicios.  </w:t>
            </w:r>
          </w:p>
        </w:tc>
      </w:tr>
    </w:tbl>
    <w:p w14:paraId="56E7CD54" w14:textId="77777777" w:rsidR="001D4A42" w:rsidRDefault="001D4A42" w:rsidP="000A01D2">
      <w:pPr>
        <w:spacing w:line="480" w:lineRule="auto"/>
        <w:rPr>
          <w:b/>
          <w:lang w:val="es-ES"/>
        </w:rPr>
      </w:pPr>
    </w:p>
    <w:p w14:paraId="2A01635F" w14:textId="77777777" w:rsidR="00A8717D" w:rsidRPr="000A01D2" w:rsidRDefault="00A8717D" w:rsidP="000A01D2">
      <w:pPr>
        <w:spacing w:line="480" w:lineRule="auto"/>
        <w:rPr>
          <w:b/>
          <w:lang w:val="es-ES"/>
        </w:rPr>
      </w:pPr>
    </w:p>
    <w:tbl>
      <w:tblPr>
        <w:tblStyle w:val="Tablaconcuadrcula"/>
        <w:tblpPr w:leftFromText="141" w:rightFromText="141" w:vertAnchor="text" w:horzAnchor="margin" w:tblpXSpec="center" w:tblpY="67"/>
        <w:tblW w:w="0" w:type="auto"/>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150"/>
        <w:gridCol w:w="6336"/>
      </w:tblGrid>
      <w:tr w:rsidR="00CC4466" w:rsidRPr="000A01D2" w14:paraId="456679CE" w14:textId="77777777" w:rsidTr="00016E63">
        <w:trPr>
          <w:trHeight w:val="841"/>
        </w:trPr>
        <w:tc>
          <w:tcPr>
            <w:tcW w:w="0" w:type="auto"/>
            <w:gridSpan w:val="2"/>
            <w:shd w:val="clear" w:color="auto" w:fill="FFFFFF" w:themeFill="background1"/>
          </w:tcPr>
          <w:p w14:paraId="3A4CCC9D" w14:textId="2F526426" w:rsidR="00CC4466" w:rsidRPr="000A01D2" w:rsidRDefault="00CC4466" w:rsidP="000A01D2">
            <w:pPr>
              <w:spacing w:line="480" w:lineRule="auto"/>
              <w:rPr>
                <w:sz w:val="24"/>
                <w:szCs w:val="24"/>
              </w:rPr>
            </w:pPr>
            <w:r w:rsidRPr="000A01D2">
              <w:rPr>
                <w:sz w:val="24"/>
                <w:szCs w:val="24"/>
              </w:rPr>
              <w:t>Tabla 2</w:t>
            </w:r>
          </w:p>
          <w:p w14:paraId="5A1A7E27" w14:textId="482578D4" w:rsidR="00CC4466" w:rsidRPr="000A01D2" w:rsidRDefault="00CC4466" w:rsidP="000A01D2">
            <w:pPr>
              <w:spacing w:line="480" w:lineRule="auto"/>
              <w:rPr>
                <w:i/>
                <w:sz w:val="24"/>
                <w:szCs w:val="24"/>
              </w:rPr>
            </w:pPr>
            <w:r w:rsidRPr="000A01D2">
              <w:rPr>
                <w:i/>
                <w:sz w:val="24"/>
                <w:szCs w:val="24"/>
              </w:rPr>
              <w:t>Sentencia SL31314-2008</w:t>
            </w:r>
          </w:p>
        </w:tc>
      </w:tr>
      <w:tr w:rsidR="00AB63DB" w:rsidRPr="000A01D2" w14:paraId="24CCB011" w14:textId="77777777" w:rsidTr="00016E63">
        <w:trPr>
          <w:trHeight w:val="841"/>
        </w:trPr>
        <w:tc>
          <w:tcPr>
            <w:tcW w:w="0" w:type="auto"/>
            <w:shd w:val="clear" w:color="auto" w:fill="FFFFFF" w:themeFill="background1"/>
            <w:hideMark/>
          </w:tcPr>
          <w:p w14:paraId="3B0EF4C5" w14:textId="77777777" w:rsidR="00AB63DB" w:rsidRPr="000A01D2" w:rsidRDefault="00AB63DB" w:rsidP="000A01D2">
            <w:pPr>
              <w:spacing w:line="480" w:lineRule="auto"/>
              <w:rPr>
                <w:b/>
                <w:sz w:val="24"/>
                <w:szCs w:val="24"/>
              </w:rPr>
            </w:pPr>
            <w:r w:rsidRPr="000A01D2">
              <w:rPr>
                <w:b/>
                <w:sz w:val="24"/>
                <w:szCs w:val="24"/>
              </w:rPr>
              <w:t>Identificación</w:t>
            </w:r>
          </w:p>
        </w:tc>
        <w:tc>
          <w:tcPr>
            <w:tcW w:w="0" w:type="auto"/>
            <w:shd w:val="clear" w:color="auto" w:fill="FFFFFF" w:themeFill="background1"/>
          </w:tcPr>
          <w:p w14:paraId="390C37FD" w14:textId="327C0B98" w:rsidR="00AB63DB" w:rsidRPr="000A01D2" w:rsidRDefault="00AB63DB" w:rsidP="003F6831">
            <w:pPr>
              <w:spacing w:line="480" w:lineRule="auto"/>
              <w:rPr>
                <w:rFonts w:eastAsia="Times New Roman"/>
                <w:b/>
                <w:sz w:val="24"/>
                <w:szCs w:val="24"/>
                <w:lang w:val="es-ES_tradnl" w:eastAsia="es-ES"/>
              </w:rPr>
            </w:pPr>
            <w:r w:rsidRPr="000A01D2">
              <w:rPr>
                <w:sz w:val="24"/>
                <w:szCs w:val="24"/>
              </w:rPr>
              <w:t xml:space="preserve">Corte Suprema de Justicia – Sala Laboral Radicado </w:t>
            </w:r>
            <w:r w:rsidRPr="000A01D2">
              <w:rPr>
                <w:rFonts w:eastAsia="Times New Roman"/>
                <w:sz w:val="24"/>
                <w:szCs w:val="24"/>
                <w:lang w:val="es-ES_tradnl" w:eastAsia="es-ES"/>
              </w:rPr>
              <w:t xml:space="preserve"> SL31314-2008</w:t>
            </w:r>
            <w:r w:rsidR="003F6831">
              <w:rPr>
                <w:rFonts w:eastAsia="Times New Roman"/>
                <w:sz w:val="24"/>
                <w:szCs w:val="24"/>
                <w:lang w:val="es-ES_tradnl" w:eastAsia="es-ES"/>
              </w:rPr>
              <w:t xml:space="preserve">, </w:t>
            </w:r>
            <w:r w:rsidRPr="000A01D2">
              <w:rPr>
                <w:rFonts w:eastAsia="Times New Roman"/>
                <w:sz w:val="24"/>
                <w:szCs w:val="24"/>
                <w:lang w:val="es-ES_tradnl" w:eastAsia="es-ES"/>
              </w:rPr>
              <w:t>Radicación N.° 31314 del 9 de septiembre del 2008</w:t>
            </w:r>
          </w:p>
        </w:tc>
      </w:tr>
      <w:tr w:rsidR="00AB63DB" w:rsidRPr="000A01D2" w14:paraId="35058D9C" w14:textId="77777777" w:rsidTr="00016E63">
        <w:tc>
          <w:tcPr>
            <w:tcW w:w="0" w:type="auto"/>
            <w:shd w:val="clear" w:color="auto" w:fill="FFFFFF" w:themeFill="background1"/>
            <w:hideMark/>
          </w:tcPr>
          <w:p w14:paraId="5B8B36C5" w14:textId="77777777" w:rsidR="00AB63DB" w:rsidRPr="000A01D2" w:rsidRDefault="00AB63DB" w:rsidP="000A01D2">
            <w:pPr>
              <w:spacing w:line="480" w:lineRule="auto"/>
              <w:rPr>
                <w:b/>
                <w:sz w:val="24"/>
                <w:szCs w:val="24"/>
              </w:rPr>
            </w:pPr>
            <w:r w:rsidRPr="000A01D2">
              <w:rPr>
                <w:b/>
                <w:sz w:val="24"/>
                <w:szCs w:val="24"/>
              </w:rPr>
              <w:t>Magistrado ponente</w:t>
            </w:r>
          </w:p>
        </w:tc>
        <w:tc>
          <w:tcPr>
            <w:tcW w:w="0" w:type="auto"/>
            <w:shd w:val="clear" w:color="auto" w:fill="FFFFFF" w:themeFill="background1"/>
          </w:tcPr>
          <w:p w14:paraId="06C0FF0F" w14:textId="443E459E" w:rsidR="00AB63DB" w:rsidRPr="000A01D2" w:rsidRDefault="00C91893" w:rsidP="000A01D2">
            <w:pPr>
              <w:spacing w:line="480" w:lineRule="auto"/>
              <w:rPr>
                <w:sz w:val="24"/>
                <w:szCs w:val="24"/>
              </w:rPr>
            </w:pPr>
            <w:r w:rsidRPr="000A01D2">
              <w:rPr>
                <w:sz w:val="24"/>
                <w:szCs w:val="24"/>
              </w:rPr>
              <w:t>Elsy del Pilar Cuello Calderón</w:t>
            </w:r>
          </w:p>
        </w:tc>
      </w:tr>
      <w:tr w:rsidR="00AB63DB" w:rsidRPr="000A01D2" w14:paraId="3598AE3B" w14:textId="77777777" w:rsidTr="00016E63">
        <w:tc>
          <w:tcPr>
            <w:tcW w:w="0" w:type="auto"/>
            <w:shd w:val="clear" w:color="auto" w:fill="FFFFFF" w:themeFill="background1"/>
            <w:hideMark/>
          </w:tcPr>
          <w:p w14:paraId="31166520" w14:textId="77777777" w:rsidR="00AB63DB" w:rsidRPr="000A01D2" w:rsidRDefault="00AB63DB" w:rsidP="000A01D2">
            <w:pPr>
              <w:spacing w:line="480" w:lineRule="auto"/>
              <w:rPr>
                <w:b/>
                <w:sz w:val="24"/>
                <w:szCs w:val="24"/>
              </w:rPr>
            </w:pPr>
            <w:r w:rsidRPr="000A01D2">
              <w:rPr>
                <w:b/>
                <w:sz w:val="24"/>
                <w:szCs w:val="24"/>
              </w:rPr>
              <w:t>Partes</w:t>
            </w:r>
          </w:p>
        </w:tc>
        <w:tc>
          <w:tcPr>
            <w:tcW w:w="0" w:type="auto"/>
            <w:shd w:val="clear" w:color="auto" w:fill="FFFFFF" w:themeFill="background1"/>
          </w:tcPr>
          <w:p w14:paraId="43325318" w14:textId="008C7124" w:rsidR="00AB63DB" w:rsidRPr="000A01D2" w:rsidRDefault="00C91893" w:rsidP="000A01D2">
            <w:pPr>
              <w:spacing w:line="480" w:lineRule="auto"/>
              <w:rPr>
                <w:rFonts w:eastAsia="Times New Roman"/>
                <w:sz w:val="24"/>
                <w:szCs w:val="24"/>
                <w:lang w:val="es-ES_tradnl" w:eastAsia="es-ES"/>
              </w:rPr>
            </w:pPr>
            <w:r w:rsidRPr="000A01D2">
              <w:rPr>
                <w:b/>
                <w:sz w:val="24"/>
                <w:szCs w:val="24"/>
              </w:rPr>
              <w:t xml:space="preserve">Demandante: </w:t>
            </w:r>
            <w:r w:rsidRPr="000A01D2">
              <w:rPr>
                <w:sz w:val="24"/>
                <w:szCs w:val="24"/>
              </w:rPr>
              <w:t>José Mardoqueo Jiménez Romero</w:t>
            </w:r>
          </w:p>
          <w:p w14:paraId="7CAA8AB8" w14:textId="69D0F717" w:rsidR="00AB63DB" w:rsidRPr="000A01D2" w:rsidRDefault="00C91893" w:rsidP="000A01D2">
            <w:pPr>
              <w:spacing w:line="480" w:lineRule="auto"/>
              <w:rPr>
                <w:sz w:val="24"/>
                <w:szCs w:val="24"/>
              </w:rPr>
            </w:pPr>
            <w:r w:rsidRPr="000A01D2">
              <w:rPr>
                <w:b/>
                <w:sz w:val="24"/>
                <w:szCs w:val="24"/>
              </w:rPr>
              <w:t xml:space="preserve">Demandado: </w:t>
            </w:r>
            <w:r w:rsidRPr="000A01D2">
              <w:rPr>
                <w:sz w:val="24"/>
                <w:szCs w:val="24"/>
              </w:rPr>
              <w:t>CAJANAL Y Porvenir S.A</w:t>
            </w:r>
          </w:p>
        </w:tc>
      </w:tr>
      <w:tr w:rsidR="00AB63DB" w:rsidRPr="000A01D2" w14:paraId="4C5DA262" w14:textId="77777777" w:rsidTr="00016E63">
        <w:tc>
          <w:tcPr>
            <w:tcW w:w="0" w:type="auto"/>
            <w:shd w:val="clear" w:color="auto" w:fill="FFFFFF" w:themeFill="background1"/>
          </w:tcPr>
          <w:p w14:paraId="3D60CACD" w14:textId="77777777" w:rsidR="00AB63DB" w:rsidRPr="000A01D2" w:rsidRDefault="00AB63DB" w:rsidP="000A01D2">
            <w:pPr>
              <w:spacing w:line="480" w:lineRule="auto"/>
              <w:rPr>
                <w:b/>
                <w:sz w:val="24"/>
                <w:szCs w:val="24"/>
              </w:rPr>
            </w:pPr>
            <w:r w:rsidRPr="000A01D2">
              <w:rPr>
                <w:b/>
                <w:sz w:val="24"/>
                <w:szCs w:val="24"/>
              </w:rPr>
              <w:t>Temas</w:t>
            </w:r>
          </w:p>
        </w:tc>
        <w:tc>
          <w:tcPr>
            <w:tcW w:w="0" w:type="auto"/>
            <w:shd w:val="clear" w:color="auto" w:fill="FFFFFF" w:themeFill="background1"/>
          </w:tcPr>
          <w:p w14:paraId="4550EB3F" w14:textId="027A1C38" w:rsidR="00AB63DB" w:rsidRPr="000A01D2" w:rsidRDefault="00AB63DB" w:rsidP="000A01D2">
            <w:pPr>
              <w:spacing w:line="480" w:lineRule="auto"/>
              <w:rPr>
                <w:sz w:val="24"/>
                <w:szCs w:val="24"/>
              </w:rPr>
            </w:pPr>
            <w:r w:rsidRPr="000A01D2">
              <w:rPr>
                <w:sz w:val="24"/>
                <w:szCs w:val="24"/>
              </w:rPr>
              <w:t xml:space="preserve">Nulidad de traslado y de la pensión de vejez, devolución de bono pensional, pensión de jubilación, intereses moratorios, </w:t>
            </w:r>
            <w:r w:rsidRPr="000A01D2">
              <w:rPr>
                <w:sz w:val="24"/>
                <w:szCs w:val="24"/>
              </w:rPr>
              <w:lastRenderedPageBreak/>
              <w:t xml:space="preserve">indexación. </w:t>
            </w:r>
          </w:p>
        </w:tc>
      </w:tr>
      <w:tr w:rsidR="00AB63DB" w:rsidRPr="000A01D2" w14:paraId="3D8328F4" w14:textId="77777777" w:rsidTr="00016E63">
        <w:tc>
          <w:tcPr>
            <w:tcW w:w="0" w:type="auto"/>
            <w:shd w:val="clear" w:color="auto" w:fill="FFFFFF" w:themeFill="background1"/>
            <w:hideMark/>
          </w:tcPr>
          <w:p w14:paraId="66F271F8" w14:textId="77777777" w:rsidR="003F6831" w:rsidRDefault="003F6831" w:rsidP="000A01D2">
            <w:pPr>
              <w:spacing w:line="480" w:lineRule="auto"/>
              <w:rPr>
                <w:b/>
                <w:sz w:val="24"/>
                <w:szCs w:val="24"/>
              </w:rPr>
            </w:pPr>
          </w:p>
          <w:p w14:paraId="3F2B62EB" w14:textId="082A2C6E" w:rsidR="00AB63DB" w:rsidRPr="000A01D2" w:rsidRDefault="00C91893" w:rsidP="000A01D2">
            <w:pPr>
              <w:spacing w:line="480" w:lineRule="auto"/>
              <w:rPr>
                <w:b/>
                <w:sz w:val="24"/>
                <w:szCs w:val="24"/>
              </w:rPr>
            </w:pPr>
            <w:r w:rsidRPr="000A01D2">
              <w:rPr>
                <w:b/>
                <w:sz w:val="24"/>
                <w:szCs w:val="24"/>
              </w:rPr>
              <w:t>Hechos jurídicamente relevantes</w:t>
            </w:r>
          </w:p>
        </w:tc>
        <w:tc>
          <w:tcPr>
            <w:tcW w:w="0" w:type="auto"/>
            <w:shd w:val="clear" w:color="auto" w:fill="FFFFFF" w:themeFill="background1"/>
          </w:tcPr>
          <w:p w14:paraId="7E0B1BDE" w14:textId="77777777" w:rsidR="003F6831" w:rsidRDefault="003F6831" w:rsidP="000A01D2">
            <w:pPr>
              <w:spacing w:line="480" w:lineRule="auto"/>
              <w:rPr>
                <w:sz w:val="24"/>
                <w:szCs w:val="24"/>
              </w:rPr>
            </w:pPr>
          </w:p>
          <w:p w14:paraId="59B2285C" w14:textId="219950DC" w:rsidR="00AB63DB" w:rsidRPr="000A01D2" w:rsidRDefault="00AB63DB" w:rsidP="000A01D2">
            <w:pPr>
              <w:spacing w:line="480" w:lineRule="auto"/>
              <w:rPr>
                <w:sz w:val="24"/>
                <w:szCs w:val="24"/>
              </w:rPr>
            </w:pPr>
            <w:r w:rsidRPr="000A01D2">
              <w:rPr>
                <w:sz w:val="24"/>
                <w:szCs w:val="24"/>
              </w:rPr>
              <w:t>El demandante pretende</w:t>
            </w:r>
            <w:r w:rsidR="00C91893" w:rsidRPr="000A01D2">
              <w:rPr>
                <w:sz w:val="24"/>
                <w:szCs w:val="24"/>
              </w:rPr>
              <w:t xml:space="preserve"> la n</w:t>
            </w:r>
            <w:r w:rsidR="00B159E5" w:rsidRPr="000A01D2">
              <w:rPr>
                <w:sz w:val="24"/>
                <w:szCs w:val="24"/>
              </w:rPr>
              <w:t>ulidad</w:t>
            </w:r>
            <w:r w:rsidRPr="000A01D2">
              <w:rPr>
                <w:sz w:val="24"/>
                <w:szCs w:val="24"/>
              </w:rPr>
              <w:t xml:space="preserve"> de traslado y de la pensión de vejez, devolución de bono pensional, pensión de jubilación con ley 3</w:t>
            </w:r>
            <w:r w:rsidR="006F0D07" w:rsidRPr="000A01D2">
              <w:rPr>
                <w:sz w:val="24"/>
                <w:szCs w:val="24"/>
              </w:rPr>
              <w:t>3 de 1985, intereses moratorios e</w:t>
            </w:r>
            <w:r w:rsidRPr="000A01D2">
              <w:rPr>
                <w:sz w:val="24"/>
                <w:szCs w:val="24"/>
              </w:rPr>
              <w:t xml:space="preserve"> indexación.</w:t>
            </w:r>
          </w:p>
          <w:p w14:paraId="22C3438A" w14:textId="14E39FC4" w:rsidR="00AB63DB" w:rsidRPr="000A01D2" w:rsidRDefault="00AB63DB" w:rsidP="000A01D2">
            <w:pPr>
              <w:spacing w:line="480" w:lineRule="auto"/>
              <w:rPr>
                <w:sz w:val="24"/>
                <w:szCs w:val="24"/>
              </w:rPr>
            </w:pPr>
            <w:r w:rsidRPr="000A01D2">
              <w:rPr>
                <w:sz w:val="24"/>
                <w:szCs w:val="24"/>
              </w:rPr>
              <w:t>Afirma  que trabajó en el sector público por 21 años, 1 mes y 7 días, efectuó aportes a CAJANAL y se trasladó de régimen a PORVE</w:t>
            </w:r>
            <w:r w:rsidR="006F0D07" w:rsidRPr="000A01D2">
              <w:rPr>
                <w:sz w:val="24"/>
                <w:szCs w:val="24"/>
              </w:rPr>
              <w:t>NIR S.A el 14 de marzo de 1997 porque</w:t>
            </w:r>
            <w:r w:rsidRPr="000A01D2">
              <w:rPr>
                <w:sz w:val="24"/>
                <w:szCs w:val="24"/>
              </w:rPr>
              <w:t xml:space="preserve"> una funcionaria de dicho fondo</w:t>
            </w:r>
            <w:r w:rsidR="00DB1546" w:rsidRPr="000A01D2">
              <w:rPr>
                <w:sz w:val="24"/>
                <w:szCs w:val="24"/>
              </w:rPr>
              <w:t>,</w:t>
            </w:r>
            <w:r w:rsidRPr="000A01D2">
              <w:rPr>
                <w:sz w:val="24"/>
                <w:szCs w:val="24"/>
              </w:rPr>
              <w:t xml:space="preserve"> sin explicaciones</w:t>
            </w:r>
            <w:r w:rsidR="00DB1546" w:rsidRPr="000A01D2">
              <w:rPr>
                <w:sz w:val="24"/>
                <w:szCs w:val="24"/>
              </w:rPr>
              <w:t>,</w:t>
            </w:r>
            <w:r w:rsidRPr="000A01D2">
              <w:rPr>
                <w:sz w:val="24"/>
                <w:szCs w:val="24"/>
              </w:rPr>
              <w:t xml:space="preserve"> lo afilió</w:t>
            </w:r>
            <w:r w:rsidR="00DB1546" w:rsidRPr="000A01D2">
              <w:rPr>
                <w:sz w:val="24"/>
                <w:szCs w:val="24"/>
              </w:rPr>
              <w:t>;</w:t>
            </w:r>
            <w:r w:rsidRPr="000A01D2">
              <w:rPr>
                <w:sz w:val="24"/>
                <w:szCs w:val="24"/>
              </w:rPr>
              <w:t xml:space="preserve"> al momento contaba con m</w:t>
            </w:r>
            <w:r w:rsidR="00212F79">
              <w:rPr>
                <w:sz w:val="24"/>
                <w:szCs w:val="24"/>
              </w:rPr>
              <w:t>á</w:t>
            </w:r>
            <w:r w:rsidRPr="000A01D2">
              <w:rPr>
                <w:sz w:val="24"/>
                <w:szCs w:val="24"/>
              </w:rPr>
              <w:t>s de 62 años y no se le advirtió el derecho al retracto. Que solicitó la pensión anticipada de vejez a partir del 5 de septiembre del 2001. Que el traslado está prohibido por el artículo 61</w:t>
            </w:r>
            <w:r w:rsidR="006F0D07" w:rsidRPr="000A01D2">
              <w:rPr>
                <w:sz w:val="24"/>
                <w:szCs w:val="24"/>
              </w:rPr>
              <w:t xml:space="preserve"> de la ley 100 de 1993, porque </w:t>
            </w:r>
            <w:r w:rsidRPr="000A01D2">
              <w:rPr>
                <w:sz w:val="24"/>
                <w:szCs w:val="24"/>
              </w:rPr>
              <w:t>para la fecha tenía m</w:t>
            </w:r>
            <w:r w:rsidR="00212F79">
              <w:rPr>
                <w:sz w:val="24"/>
                <w:szCs w:val="24"/>
              </w:rPr>
              <w:t>á</w:t>
            </w:r>
            <w:r w:rsidRPr="000A01D2">
              <w:rPr>
                <w:sz w:val="24"/>
                <w:szCs w:val="24"/>
              </w:rPr>
              <w:t>s de 55 años de edad, que no cons</w:t>
            </w:r>
            <w:r w:rsidR="006F0D07" w:rsidRPr="000A01D2">
              <w:rPr>
                <w:sz w:val="24"/>
                <w:szCs w:val="24"/>
              </w:rPr>
              <w:t>intió cotizar 500 semanas más y</w:t>
            </w:r>
            <w:r w:rsidR="00DE29BD" w:rsidRPr="000A01D2">
              <w:rPr>
                <w:sz w:val="24"/>
                <w:szCs w:val="24"/>
              </w:rPr>
              <w:t xml:space="preserve"> que está </w:t>
            </w:r>
            <w:r w:rsidRPr="000A01D2">
              <w:rPr>
                <w:sz w:val="24"/>
                <w:szCs w:val="24"/>
              </w:rPr>
              <w:t xml:space="preserve">amparado por el </w:t>
            </w:r>
            <w:r w:rsidR="00DE29BD" w:rsidRPr="000A01D2">
              <w:rPr>
                <w:sz w:val="24"/>
                <w:szCs w:val="24"/>
              </w:rPr>
              <w:t>régimen</w:t>
            </w:r>
            <w:r w:rsidRPr="000A01D2">
              <w:rPr>
                <w:sz w:val="24"/>
                <w:szCs w:val="24"/>
              </w:rPr>
              <w:t xml:space="preserve"> de transición del artículo 36 de la ley 100 de 1993. </w:t>
            </w:r>
          </w:p>
          <w:p w14:paraId="3802D11C" w14:textId="5F909CE0" w:rsidR="00AB63DB" w:rsidRPr="000A01D2" w:rsidRDefault="00AB63DB" w:rsidP="000A01D2">
            <w:pPr>
              <w:spacing w:line="480" w:lineRule="auto"/>
              <w:rPr>
                <w:sz w:val="24"/>
                <w:szCs w:val="24"/>
              </w:rPr>
            </w:pPr>
            <w:r w:rsidRPr="000A01D2">
              <w:rPr>
                <w:sz w:val="24"/>
                <w:szCs w:val="24"/>
              </w:rPr>
              <w:t>PORVENIR S.A se opus</w:t>
            </w:r>
            <w:r w:rsidR="00DE29BD" w:rsidRPr="000A01D2">
              <w:rPr>
                <w:sz w:val="24"/>
                <w:szCs w:val="24"/>
              </w:rPr>
              <w:t>o</w:t>
            </w:r>
            <w:r w:rsidRPr="000A01D2">
              <w:rPr>
                <w:sz w:val="24"/>
                <w:szCs w:val="24"/>
              </w:rPr>
              <w:t xml:space="preserve"> a las pretensiones y propuso las excepciones de cobro de lo no debido, falta de causa de las pretensiones, pago, comp</w:t>
            </w:r>
            <w:r w:rsidR="006F0D07" w:rsidRPr="000A01D2">
              <w:rPr>
                <w:sz w:val="24"/>
                <w:szCs w:val="24"/>
              </w:rPr>
              <w:t>ensación, prescripción, buena fe</w:t>
            </w:r>
            <w:r w:rsidRPr="000A01D2">
              <w:rPr>
                <w:sz w:val="24"/>
                <w:szCs w:val="24"/>
              </w:rPr>
              <w:t xml:space="preserve"> e inexistencia de la obligación. </w:t>
            </w:r>
          </w:p>
          <w:p w14:paraId="5F1D000D" w14:textId="6D3F0790" w:rsidR="00AB63DB" w:rsidRPr="000A01D2" w:rsidRDefault="00236FE3" w:rsidP="000A01D2">
            <w:pPr>
              <w:spacing w:line="480" w:lineRule="auto"/>
              <w:rPr>
                <w:sz w:val="24"/>
                <w:szCs w:val="24"/>
              </w:rPr>
            </w:pPr>
            <w:r w:rsidRPr="000A01D2">
              <w:rPr>
                <w:sz w:val="24"/>
                <w:szCs w:val="24"/>
              </w:rPr>
              <w:t xml:space="preserve">Por su parte, </w:t>
            </w:r>
            <w:r w:rsidR="00AB63DB" w:rsidRPr="000A01D2">
              <w:rPr>
                <w:sz w:val="24"/>
                <w:szCs w:val="24"/>
              </w:rPr>
              <w:t xml:space="preserve">CAJANAL no contestó la demanda. </w:t>
            </w:r>
          </w:p>
          <w:p w14:paraId="7697ED9A" w14:textId="77777777" w:rsidR="00AB63DB" w:rsidRPr="000A01D2" w:rsidRDefault="00AB63DB" w:rsidP="000A01D2">
            <w:pPr>
              <w:spacing w:line="480" w:lineRule="auto"/>
              <w:rPr>
                <w:sz w:val="24"/>
                <w:szCs w:val="24"/>
              </w:rPr>
            </w:pPr>
            <w:r w:rsidRPr="000A01D2">
              <w:rPr>
                <w:sz w:val="24"/>
                <w:szCs w:val="24"/>
              </w:rPr>
              <w:t xml:space="preserve">El juez ordenó convocar al litigio a la sociedad ASESORES EN VALORES S.A y al MINISTERIO DE HACIENDA Y </w:t>
            </w:r>
            <w:r w:rsidRPr="000A01D2">
              <w:rPr>
                <w:sz w:val="24"/>
                <w:szCs w:val="24"/>
              </w:rPr>
              <w:lastRenderedPageBreak/>
              <w:t xml:space="preserve">CRÉDITO PÚBLICO quienes se opusieron a  las pretensiones. </w:t>
            </w:r>
          </w:p>
        </w:tc>
      </w:tr>
      <w:tr w:rsidR="00AB63DB" w:rsidRPr="000A01D2" w14:paraId="0DA89146" w14:textId="77777777" w:rsidTr="00016E63">
        <w:tc>
          <w:tcPr>
            <w:tcW w:w="0" w:type="auto"/>
            <w:shd w:val="clear" w:color="auto" w:fill="FFFFFF" w:themeFill="background1"/>
          </w:tcPr>
          <w:p w14:paraId="0B391F9E" w14:textId="77777777" w:rsidR="003F6831" w:rsidRDefault="003F6831" w:rsidP="000A01D2">
            <w:pPr>
              <w:spacing w:line="480" w:lineRule="auto"/>
              <w:rPr>
                <w:b/>
                <w:sz w:val="24"/>
                <w:szCs w:val="24"/>
              </w:rPr>
            </w:pPr>
          </w:p>
          <w:p w14:paraId="6BC6E3CB" w14:textId="46A0B5A5" w:rsidR="00AB63DB" w:rsidRPr="000A01D2" w:rsidRDefault="00AB63DB" w:rsidP="000A01D2">
            <w:pPr>
              <w:spacing w:line="480" w:lineRule="auto"/>
              <w:rPr>
                <w:b/>
                <w:sz w:val="24"/>
                <w:szCs w:val="24"/>
              </w:rPr>
            </w:pPr>
            <w:r w:rsidRPr="000A01D2">
              <w:rPr>
                <w:b/>
                <w:sz w:val="24"/>
                <w:szCs w:val="24"/>
              </w:rPr>
              <w:t xml:space="preserve">Decisiones </w:t>
            </w:r>
            <w:r w:rsidR="00F057A6" w:rsidRPr="000A01D2">
              <w:rPr>
                <w:b/>
                <w:sz w:val="24"/>
                <w:szCs w:val="24"/>
              </w:rPr>
              <w:t xml:space="preserve">de </w:t>
            </w:r>
            <w:r w:rsidRPr="000A01D2">
              <w:rPr>
                <w:b/>
                <w:sz w:val="24"/>
                <w:szCs w:val="24"/>
              </w:rPr>
              <w:t>instancia</w:t>
            </w:r>
          </w:p>
        </w:tc>
        <w:tc>
          <w:tcPr>
            <w:tcW w:w="0" w:type="auto"/>
            <w:shd w:val="clear" w:color="auto" w:fill="FFFFFF" w:themeFill="background1"/>
          </w:tcPr>
          <w:p w14:paraId="297EAF91" w14:textId="77777777" w:rsidR="003F6831" w:rsidRDefault="003F6831" w:rsidP="000A01D2">
            <w:pPr>
              <w:spacing w:line="480" w:lineRule="auto"/>
              <w:rPr>
                <w:b/>
                <w:bCs/>
                <w:iCs/>
                <w:sz w:val="24"/>
                <w:szCs w:val="24"/>
              </w:rPr>
            </w:pPr>
          </w:p>
          <w:p w14:paraId="481DC3B4" w14:textId="4C7FE1F1" w:rsidR="00AB63DB" w:rsidRPr="000A01D2" w:rsidRDefault="00F057A6" w:rsidP="000A01D2">
            <w:pPr>
              <w:spacing w:line="480" w:lineRule="auto"/>
              <w:rPr>
                <w:bCs/>
                <w:iCs/>
                <w:sz w:val="24"/>
                <w:szCs w:val="24"/>
              </w:rPr>
            </w:pPr>
            <w:r w:rsidRPr="000A01D2">
              <w:rPr>
                <w:b/>
                <w:bCs/>
                <w:iCs/>
                <w:sz w:val="24"/>
                <w:szCs w:val="24"/>
              </w:rPr>
              <w:t>Primera Instancia:</w:t>
            </w:r>
            <w:r w:rsidRPr="000A01D2">
              <w:rPr>
                <w:bCs/>
                <w:iCs/>
                <w:sz w:val="24"/>
                <w:szCs w:val="24"/>
              </w:rPr>
              <w:t xml:space="preserve"> </w:t>
            </w:r>
            <w:r w:rsidR="00AB63DB" w:rsidRPr="000A01D2">
              <w:rPr>
                <w:bCs/>
                <w:iCs/>
                <w:sz w:val="24"/>
                <w:szCs w:val="24"/>
              </w:rPr>
              <w:t xml:space="preserve">El </w:t>
            </w:r>
            <w:r w:rsidR="00C91893" w:rsidRPr="000A01D2">
              <w:rPr>
                <w:bCs/>
                <w:iCs/>
                <w:sz w:val="24"/>
                <w:szCs w:val="24"/>
              </w:rPr>
              <w:t xml:space="preserve">Juzgado Tercero </w:t>
            </w:r>
            <w:r w:rsidR="00AB63DB" w:rsidRPr="000A01D2">
              <w:rPr>
                <w:bCs/>
                <w:iCs/>
                <w:sz w:val="24"/>
                <w:szCs w:val="24"/>
              </w:rPr>
              <w:t>Laboral del Circuito de Cali ORDENÓ la emisión del bono pensional, la reliquidación de la pensión, la inclusión de la diferencia entre el bono liquidado y el pagado, reajuste del bono pensional. El demandante y PORVENIR S.A  interpone</w:t>
            </w:r>
            <w:r w:rsidR="00DE29BD" w:rsidRPr="000A01D2">
              <w:rPr>
                <w:bCs/>
                <w:iCs/>
                <w:sz w:val="24"/>
                <w:szCs w:val="24"/>
              </w:rPr>
              <w:t>n</w:t>
            </w:r>
            <w:r w:rsidR="00AB63DB" w:rsidRPr="000A01D2">
              <w:rPr>
                <w:bCs/>
                <w:iCs/>
                <w:sz w:val="24"/>
                <w:szCs w:val="24"/>
              </w:rPr>
              <w:t xml:space="preserve"> recurso de apelación. </w:t>
            </w:r>
          </w:p>
          <w:p w14:paraId="268D1698" w14:textId="4E8DB9A8" w:rsidR="00AB63DB" w:rsidRPr="000A01D2" w:rsidRDefault="00F057A6" w:rsidP="000A01D2">
            <w:pPr>
              <w:spacing w:line="480" w:lineRule="auto"/>
              <w:rPr>
                <w:bCs/>
                <w:iCs/>
                <w:sz w:val="24"/>
                <w:szCs w:val="24"/>
              </w:rPr>
            </w:pPr>
            <w:r w:rsidRPr="000A01D2">
              <w:rPr>
                <w:b/>
                <w:bCs/>
                <w:iCs/>
                <w:sz w:val="24"/>
                <w:szCs w:val="24"/>
              </w:rPr>
              <w:t>Segunda Instancia:</w:t>
            </w:r>
            <w:r w:rsidRPr="000A01D2">
              <w:rPr>
                <w:bCs/>
                <w:iCs/>
                <w:sz w:val="24"/>
                <w:szCs w:val="24"/>
              </w:rPr>
              <w:t xml:space="preserve"> </w:t>
            </w:r>
            <w:r w:rsidR="003807AB" w:rsidRPr="000A01D2">
              <w:rPr>
                <w:bCs/>
                <w:iCs/>
                <w:sz w:val="24"/>
                <w:szCs w:val="24"/>
              </w:rPr>
              <w:t>E</w:t>
            </w:r>
            <w:r w:rsidR="00AB63DB" w:rsidRPr="000A01D2">
              <w:rPr>
                <w:bCs/>
                <w:iCs/>
                <w:sz w:val="24"/>
                <w:szCs w:val="24"/>
              </w:rPr>
              <w:t xml:space="preserve">l Tribunal Superior de Cali REVOCÓ  las condenas </w:t>
            </w:r>
            <w:r w:rsidR="00212F79">
              <w:rPr>
                <w:bCs/>
                <w:iCs/>
                <w:sz w:val="24"/>
                <w:szCs w:val="24"/>
              </w:rPr>
              <w:t xml:space="preserve">por </w:t>
            </w:r>
            <w:r w:rsidR="00AB63DB" w:rsidRPr="000A01D2">
              <w:rPr>
                <w:bCs/>
                <w:iCs/>
                <w:sz w:val="24"/>
                <w:szCs w:val="24"/>
              </w:rPr>
              <w:t xml:space="preserve">reliquidación de la pensión, la inclusión de la diferencia entre el bono y el pago de dicho reajuste, en lo demas CONFIRMÓ el fallo, es decir, frente a la emisión del bono pensional </w:t>
            </w:r>
            <w:r w:rsidR="00DE29BD" w:rsidRPr="000A01D2">
              <w:rPr>
                <w:bCs/>
                <w:iCs/>
                <w:sz w:val="24"/>
                <w:szCs w:val="24"/>
              </w:rPr>
              <w:t>y al pago de la diferencia del b</w:t>
            </w:r>
            <w:r w:rsidR="00AB63DB" w:rsidRPr="000A01D2">
              <w:rPr>
                <w:bCs/>
                <w:iCs/>
                <w:sz w:val="24"/>
                <w:szCs w:val="24"/>
              </w:rPr>
              <w:t>ono pen</w:t>
            </w:r>
            <w:r w:rsidR="003807AB" w:rsidRPr="000A01D2">
              <w:rPr>
                <w:bCs/>
                <w:iCs/>
                <w:sz w:val="24"/>
                <w:szCs w:val="24"/>
              </w:rPr>
              <w:t xml:space="preserve">sional que adeudaba la nación. </w:t>
            </w:r>
          </w:p>
        </w:tc>
      </w:tr>
      <w:tr w:rsidR="00AB63DB" w:rsidRPr="000A01D2" w14:paraId="38F8231B" w14:textId="77777777" w:rsidTr="00016E63">
        <w:tc>
          <w:tcPr>
            <w:tcW w:w="0" w:type="auto"/>
            <w:shd w:val="clear" w:color="auto" w:fill="FFFFFF" w:themeFill="background1"/>
          </w:tcPr>
          <w:p w14:paraId="16D9EBEB" w14:textId="77777777" w:rsidR="00AB63DB" w:rsidRPr="000A01D2" w:rsidRDefault="00AB63DB" w:rsidP="000A01D2">
            <w:pPr>
              <w:spacing w:line="480" w:lineRule="auto"/>
              <w:rPr>
                <w:b/>
                <w:sz w:val="24"/>
                <w:szCs w:val="24"/>
              </w:rPr>
            </w:pPr>
            <w:r w:rsidRPr="000A01D2">
              <w:rPr>
                <w:b/>
                <w:sz w:val="24"/>
                <w:szCs w:val="24"/>
              </w:rPr>
              <w:t>Recurso de casación</w:t>
            </w:r>
          </w:p>
        </w:tc>
        <w:tc>
          <w:tcPr>
            <w:tcW w:w="0" w:type="auto"/>
            <w:shd w:val="clear" w:color="auto" w:fill="FFFFFF" w:themeFill="background1"/>
          </w:tcPr>
          <w:p w14:paraId="413C66C5" w14:textId="77777777" w:rsidR="00AB63DB" w:rsidRPr="000A01D2" w:rsidRDefault="00AB63DB" w:rsidP="000A01D2">
            <w:pPr>
              <w:spacing w:line="480" w:lineRule="auto"/>
              <w:rPr>
                <w:bCs/>
                <w:iCs/>
                <w:sz w:val="24"/>
                <w:szCs w:val="24"/>
              </w:rPr>
            </w:pPr>
            <w:r w:rsidRPr="000A01D2">
              <w:rPr>
                <w:bCs/>
                <w:iCs/>
                <w:sz w:val="24"/>
                <w:szCs w:val="24"/>
              </w:rPr>
              <w:t xml:space="preserve">El demandante solicita que se case la sentencia, que se revoque la decisión y se acceda a las prensiones de la demanda. </w:t>
            </w:r>
          </w:p>
          <w:p w14:paraId="453F6996" w14:textId="55606996" w:rsidR="00AB63DB" w:rsidRPr="000A01D2" w:rsidRDefault="00AB63DB" w:rsidP="000A01D2">
            <w:pPr>
              <w:spacing w:line="480" w:lineRule="auto"/>
              <w:rPr>
                <w:bCs/>
                <w:iCs/>
                <w:sz w:val="24"/>
                <w:szCs w:val="24"/>
              </w:rPr>
            </w:pPr>
            <w:r w:rsidRPr="000A01D2">
              <w:rPr>
                <w:bCs/>
                <w:iCs/>
                <w:sz w:val="24"/>
                <w:szCs w:val="24"/>
              </w:rPr>
              <w:t>Porvenir S.A</w:t>
            </w:r>
            <w:r w:rsidR="00CC7181">
              <w:rPr>
                <w:bCs/>
                <w:iCs/>
                <w:sz w:val="24"/>
                <w:szCs w:val="24"/>
              </w:rPr>
              <w:t>.</w:t>
            </w:r>
            <w:r w:rsidRPr="000A01D2">
              <w:rPr>
                <w:bCs/>
                <w:iCs/>
                <w:sz w:val="24"/>
                <w:szCs w:val="24"/>
              </w:rPr>
              <w:t xml:space="preserve"> por vía indirecta denuncia sentencia por artículos 87 del CPL 60, decreto 528 de 1994 y el 7 de la ley 16</w:t>
            </w:r>
            <w:r w:rsidR="00CC7181">
              <w:rPr>
                <w:bCs/>
                <w:iCs/>
                <w:sz w:val="24"/>
                <w:szCs w:val="24"/>
              </w:rPr>
              <w:t xml:space="preserve"> </w:t>
            </w:r>
            <w:r w:rsidRPr="000A01D2">
              <w:rPr>
                <w:bCs/>
                <w:iCs/>
                <w:sz w:val="24"/>
                <w:szCs w:val="24"/>
              </w:rPr>
              <w:t>de 1969, por aplicación indebida de los artículos 61, literal b, ley 100 de 1993, el 64, inciso 2 y el 128 de la ley 100 de 1993; el 3, inciso 3 del decreto 1161 de 1994; el 7 y 12 del decreto 1299 de 1994; el 20, literal b del decreto 1748 de 1995; los</w:t>
            </w:r>
            <w:r w:rsidR="00CC7181">
              <w:rPr>
                <w:bCs/>
                <w:iCs/>
                <w:sz w:val="24"/>
                <w:szCs w:val="24"/>
              </w:rPr>
              <w:t xml:space="preserve"> artículos</w:t>
            </w:r>
            <w:r w:rsidRPr="000A01D2">
              <w:rPr>
                <w:bCs/>
                <w:iCs/>
                <w:sz w:val="24"/>
                <w:szCs w:val="24"/>
              </w:rPr>
              <w:t xml:space="preserve"> 1502, 1523, 1524 y 1571 del C.C; el 36 de la ley 100 de 1993; el 1 de </w:t>
            </w:r>
            <w:r w:rsidRPr="000A01D2">
              <w:rPr>
                <w:bCs/>
                <w:iCs/>
                <w:sz w:val="24"/>
                <w:szCs w:val="24"/>
              </w:rPr>
              <w:lastRenderedPageBreak/>
              <w:t xml:space="preserve">la ley 33 de 1985 y el 145 del CPL. </w:t>
            </w:r>
          </w:p>
          <w:p w14:paraId="2CC2670D" w14:textId="77777777" w:rsidR="00AB63DB" w:rsidRPr="000A01D2" w:rsidRDefault="00AB63DB" w:rsidP="000A01D2">
            <w:pPr>
              <w:spacing w:line="480" w:lineRule="auto"/>
              <w:rPr>
                <w:bCs/>
                <w:iCs/>
                <w:sz w:val="24"/>
                <w:szCs w:val="24"/>
              </w:rPr>
            </w:pPr>
          </w:p>
        </w:tc>
      </w:tr>
      <w:tr w:rsidR="00AB63DB" w:rsidRPr="000A01D2" w14:paraId="65BD4A0E" w14:textId="77777777" w:rsidTr="00016E63">
        <w:tc>
          <w:tcPr>
            <w:tcW w:w="0" w:type="auto"/>
            <w:shd w:val="clear" w:color="auto" w:fill="FFFFFF" w:themeFill="background1"/>
            <w:hideMark/>
          </w:tcPr>
          <w:p w14:paraId="2267A44B" w14:textId="2541F24A" w:rsidR="00AB63DB" w:rsidRPr="000A01D2" w:rsidRDefault="00AB63DB" w:rsidP="000A01D2">
            <w:pPr>
              <w:spacing w:line="480" w:lineRule="auto"/>
              <w:rPr>
                <w:b/>
                <w:sz w:val="24"/>
                <w:szCs w:val="24"/>
              </w:rPr>
            </w:pPr>
            <w:r w:rsidRPr="000A01D2">
              <w:rPr>
                <w:b/>
                <w:sz w:val="24"/>
                <w:szCs w:val="24"/>
              </w:rPr>
              <w:lastRenderedPageBreak/>
              <w:t xml:space="preserve">Decisión </w:t>
            </w:r>
            <w:r w:rsidR="00703B7E" w:rsidRPr="000A01D2">
              <w:rPr>
                <w:b/>
                <w:sz w:val="24"/>
                <w:szCs w:val="24"/>
              </w:rPr>
              <w:t>en casación</w:t>
            </w:r>
          </w:p>
        </w:tc>
        <w:tc>
          <w:tcPr>
            <w:tcW w:w="0" w:type="auto"/>
            <w:shd w:val="clear" w:color="auto" w:fill="FFFFFF" w:themeFill="background1"/>
          </w:tcPr>
          <w:p w14:paraId="7D1690C8" w14:textId="78D62157" w:rsidR="00AB63DB" w:rsidRPr="000A01D2" w:rsidRDefault="00AB63DB" w:rsidP="000A01D2">
            <w:pPr>
              <w:spacing w:line="480" w:lineRule="auto"/>
              <w:rPr>
                <w:bCs/>
                <w:iCs/>
                <w:sz w:val="24"/>
                <w:szCs w:val="24"/>
              </w:rPr>
            </w:pPr>
            <w:r w:rsidRPr="000A01D2">
              <w:rPr>
                <w:bCs/>
                <w:iCs/>
                <w:sz w:val="24"/>
                <w:szCs w:val="24"/>
              </w:rPr>
              <w:t>CASA</w:t>
            </w:r>
            <w:r w:rsidR="00F057A6" w:rsidRPr="000A01D2">
              <w:rPr>
                <w:bCs/>
                <w:iCs/>
                <w:sz w:val="24"/>
                <w:szCs w:val="24"/>
              </w:rPr>
              <w:t xml:space="preserve"> la Sentencia proferida por el Tribunal Superior de Cali</w:t>
            </w:r>
          </w:p>
        </w:tc>
      </w:tr>
      <w:tr w:rsidR="00236FE3" w:rsidRPr="000A01D2" w14:paraId="2C410194" w14:textId="77777777" w:rsidTr="00016E63">
        <w:tc>
          <w:tcPr>
            <w:tcW w:w="0" w:type="auto"/>
            <w:tcBorders>
              <w:bottom w:val="single" w:sz="4" w:space="0" w:color="auto"/>
            </w:tcBorders>
            <w:shd w:val="clear" w:color="auto" w:fill="FFFFFF" w:themeFill="background1"/>
          </w:tcPr>
          <w:p w14:paraId="70BEB08F" w14:textId="2258A664" w:rsidR="00236FE3" w:rsidRPr="000A01D2" w:rsidRDefault="00236FE3" w:rsidP="000A01D2">
            <w:pPr>
              <w:spacing w:line="480" w:lineRule="auto"/>
              <w:rPr>
                <w:b/>
                <w:sz w:val="24"/>
                <w:szCs w:val="24"/>
              </w:rPr>
            </w:pPr>
            <w:r w:rsidRPr="000A01D2">
              <w:rPr>
                <w:b/>
                <w:sz w:val="24"/>
                <w:szCs w:val="24"/>
              </w:rPr>
              <w:t>Problema jurídico</w:t>
            </w:r>
          </w:p>
        </w:tc>
        <w:tc>
          <w:tcPr>
            <w:tcW w:w="0" w:type="auto"/>
            <w:tcBorders>
              <w:bottom w:val="single" w:sz="4" w:space="0" w:color="auto"/>
            </w:tcBorders>
            <w:shd w:val="clear" w:color="auto" w:fill="FFFFFF" w:themeFill="background1"/>
          </w:tcPr>
          <w:p w14:paraId="5E884161" w14:textId="772BFABC" w:rsidR="00236FE3" w:rsidRPr="000A01D2" w:rsidRDefault="00236FE3" w:rsidP="000A01D2">
            <w:pPr>
              <w:spacing w:line="480" w:lineRule="auto"/>
              <w:rPr>
                <w:sz w:val="24"/>
                <w:szCs w:val="24"/>
              </w:rPr>
            </w:pPr>
            <w:r w:rsidRPr="000A01D2">
              <w:rPr>
                <w:sz w:val="24"/>
                <w:szCs w:val="24"/>
              </w:rPr>
              <w:t>Se pretende la nulidad de la afiliación al régimen de ahorro individual, como del reconocimiento de la pensión anticipada que hizo Porvenir S. A., lo mismo que de la negociación del bono pensional; adicionalmente, que CAJANAL le reconozca la jubilación equivalente al 75% del último salario devengado, de acuerdo con los artículos 36 de la Ley 100 de 1993 y 1 de la 33 de 1985.</w:t>
            </w:r>
          </w:p>
        </w:tc>
      </w:tr>
      <w:tr w:rsidR="00AB63DB" w:rsidRPr="000A01D2" w14:paraId="7526CDD3" w14:textId="77777777" w:rsidTr="00016E63">
        <w:tc>
          <w:tcPr>
            <w:tcW w:w="0" w:type="auto"/>
            <w:tcBorders>
              <w:top w:val="single" w:sz="4" w:space="0" w:color="auto"/>
              <w:bottom w:val="single" w:sz="4" w:space="0" w:color="auto"/>
            </w:tcBorders>
            <w:shd w:val="clear" w:color="auto" w:fill="FFFFFF" w:themeFill="background1"/>
          </w:tcPr>
          <w:p w14:paraId="29CEEF9A" w14:textId="77777777" w:rsidR="00AB63DB" w:rsidRPr="000A01D2" w:rsidRDefault="00AB63DB" w:rsidP="000A01D2">
            <w:pPr>
              <w:spacing w:line="480" w:lineRule="auto"/>
              <w:rPr>
                <w:b/>
                <w:sz w:val="24"/>
                <w:szCs w:val="24"/>
              </w:rPr>
            </w:pPr>
            <w:r w:rsidRPr="000A01D2">
              <w:rPr>
                <w:b/>
                <w:sz w:val="24"/>
                <w:szCs w:val="24"/>
              </w:rPr>
              <w:t xml:space="preserve">Consideraciones </w:t>
            </w:r>
          </w:p>
        </w:tc>
        <w:tc>
          <w:tcPr>
            <w:tcW w:w="0" w:type="auto"/>
            <w:tcBorders>
              <w:top w:val="single" w:sz="4" w:space="0" w:color="auto"/>
              <w:bottom w:val="single" w:sz="4" w:space="0" w:color="auto"/>
            </w:tcBorders>
            <w:shd w:val="clear" w:color="auto" w:fill="FFFFFF" w:themeFill="background1"/>
          </w:tcPr>
          <w:p w14:paraId="7DA7158C" w14:textId="77777777" w:rsidR="00AB63DB" w:rsidRPr="000A01D2" w:rsidRDefault="00AB63DB" w:rsidP="000A01D2">
            <w:pPr>
              <w:spacing w:line="480" w:lineRule="auto"/>
              <w:rPr>
                <w:sz w:val="24"/>
                <w:szCs w:val="24"/>
                <w:lang w:val="es-ES"/>
              </w:rPr>
            </w:pPr>
            <w:r w:rsidRPr="000A01D2">
              <w:rPr>
                <w:sz w:val="24"/>
                <w:szCs w:val="24"/>
                <w:lang w:val="es-ES"/>
              </w:rPr>
              <w:t xml:space="preserve">Afirma que por violación de los requisitos propios de la afiliación se debe declarar la nulidad. </w:t>
            </w:r>
          </w:p>
          <w:p w14:paraId="0DF2A38F" w14:textId="70284246" w:rsidR="00AB63DB" w:rsidRPr="000A01D2" w:rsidRDefault="00AB63DB" w:rsidP="000A01D2">
            <w:pPr>
              <w:spacing w:line="480" w:lineRule="auto"/>
              <w:rPr>
                <w:sz w:val="24"/>
                <w:szCs w:val="24"/>
                <w:lang w:val="es-ES"/>
              </w:rPr>
            </w:pPr>
            <w:r w:rsidRPr="000A01D2">
              <w:rPr>
                <w:sz w:val="24"/>
                <w:szCs w:val="24"/>
                <w:lang w:val="es-ES"/>
              </w:rPr>
              <w:t xml:space="preserve">Frente a la pensión de vejez anticipada considera que debe declararse su nulidad, pues el actor estaba excluido de pertenecer al RAIS por no haber cotizado 500 semanas en ese régimen, no podía acceder al reconocimiento de </w:t>
            </w:r>
            <w:r w:rsidR="00F057A6" w:rsidRPr="000A01D2">
              <w:rPr>
                <w:sz w:val="24"/>
                <w:szCs w:val="24"/>
                <w:lang w:val="es-ES"/>
              </w:rPr>
              <w:t>la pensión de vejez anticipada y</w:t>
            </w:r>
            <w:r w:rsidRPr="000A01D2">
              <w:rPr>
                <w:sz w:val="24"/>
                <w:szCs w:val="24"/>
                <w:lang w:val="es-ES"/>
              </w:rPr>
              <w:t xml:space="preserve"> no se agotó el proc</w:t>
            </w:r>
            <w:r w:rsidR="00F057A6" w:rsidRPr="000A01D2">
              <w:rPr>
                <w:sz w:val="24"/>
                <w:szCs w:val="24"/>
                <w:lang w:val="es-ES"/>
              </w:rPr>
              <w:t>edimiento para el reconocimiento.</w:t>
            </w:r>
            <w:r w:rsidRPr="000A01D2">
              <w:rPr>
                <w:sz w:val="24"/>
                <w:szCs w:val="24"/>
                <w:lang w:val="es-ES"/>
              </w:rPr>
              <w:t xml:space="preserve"> </w:t>
            </w:r>
            <w:r w:rsidR="00F057A6" w:rsidRPr="000A01D2">
              <w:rPr>
                <w:sz w:val="24"/>
                <w:szCs w:val="24"/>
                <w:lang w:val="es-ES"/>
              </w:rPr>
              <w:t>Tampoco</w:t>
            </w:r>
            <w:r w:rsidRPr="000A01D2">
              <w:rPr>
                <w:sz w:val="24"/>
                <w:szCs w:val="24"/>
                <w:lang w:val="es-ES"/>
              </w:rPr>
              <w:t xml:space="preserve"> podía solicitar la emisión del bono al Ministerio de Hacienda y Crédito </w:t>
            </w:r>
            <w:r w:rsidR="00CC7181">
              <w:rPr>
                <w:sz w:val="24"/>
                <w:szCs w:val="24"/>
                <w:lang w:val="es-ES"/>
              </w:rPr>
              <w:t>P</w:t>
            </w:r>
            <w:r w:rsidRPr="000A01D2">
              <w:rPr>
                <w:sz w:val="24"/>
                <w:szCs w:val="24"/>
                <w:lang w:val="es-ES"/>
              </w:rPr>
              <w:t xml:space="preserve">úblico, ni </w:t>
            </w:r>
            <w:r w:rsidR="00F057A6" w:rsidRPr="000A01D2">
              <w:rPr>
                <w:sz w:val="24"/>
                <w:szCs w:val="24"/>
                <w:lang w:val="es-ES"/>
              </w:rPr>
              <w:t xml:space="preserve">este podía </w:t>
            </w:r>
            <w:r w:rsidRPr="000A01D2">
              <w:rPr>
                <w:sz w:val="24"/>
                <w:szCs w:val="24"/>
                <w:lang w:val="es-ES"/>
              </w:rPr>
              <w:t>emitir</w:t>
            </w:r>
            <w:r w:rsidR="00F057A6" w:rsidRPr="000A01D2">
              <w:rPr>
                <w:sz w:val="24"/>
                <w:szCs w:val="24"/>
                <w:lang w:val="es-ES"/>
              </w:rPr>
              <w:t xml:space="preserve">lo y </w:t>
            </w:r>
            <w:r w:rsidRPr="000A01D2">
              <w:rPr>
                <w:sz w:val="24"/>
                <w:szCs w:val="24"/>
                <w:lang w:val="es-ES"/>
              </w:rPr>
              <w:t xml:space="preserve">no se podía negociar el bono pensional en la bolsa. </w:t>
            </w:r>
          </w:p>
          <w:p w14:paraId="39FD2260" w14:textId="1E3105AA" w:rsidR="00AB63DB" w:rsidRPr="000A01D2" w:rsidRDefault="00F057A6" w:rsidP="000A01D2">
            <w:pPr>
              <w:spacing w:line="480" w:lineRule="auto"/>
              <w:rPr>
                <w:rFonts w:eastAsia="Dotum"/>
                <w:sz w:val="24"/>
                <w:szCs w:val="24"/>
              </w:rPr>
            </w:pPr>
            <w:r w:rsidRPr="000A01D2">
              <w:rPr>
                <w:sz w:val="24"/>
                <w:szCs w:val="24"/>
                <w:lang w:val="es-ES"/>
              </w:rPr>
              <w:t>Se a</w:t>
            </w:r>
            <w:r w:rsidR="00AB63DB" w:rsidRPr="000A01D2">
              <w:rPr>
                <w:sz w:val="24"/>
                <w:szCs w:val="24"/>
                <w:lang w:val="es-ES"/>
              </w:rPr>
              <w:t>firma</w:t>
            </w:r>
            <w:r w:rsidR="00AB63DB" w:rsidRPr="000A01D2">
              <w:rPr>
                <w:rFonts w:eastAsia="Arial Unicode MS"/>
                <w:sz w:val="24"/>
                <w:szCs w:val="24"/>
              </w:rPr>
              <w:t xml:space="preserve"> que  la funcionaria de PORVENIR S. </w:t>
            </w:r>
            <w:r w:rsidR="00B159E5" w:rsidRPr="000A01D2">
              <w:rPr>
                <w:rFonts w:eastAsia="Arial Unicode MS"/>
                <w:sz w:val="24"/>
                <w:szCs w:val="24"/>
              </w:rPr>
              <w:t>A.,</w:t>
            </w:r>
            <w:r w:rsidR="00AB63DB" w:rsidRPr="000A01D2">
              <w:rPr>
                <w:rFonts w:eastAsia="Arial Unicode MS"/>
                <w:sz w:val="24"/>
                <w:szCs w:val="24"/>
              </w:rPr>
              <w:t xml:space="preserve"> omitió suministrarle las suficientes explicaciones y datos para el </w:t>
            </w:r>
            <w:r w:rsidR="00AB63DB" w:rsidRPr="000A01D2">
              <w:rPr>
                <w:rFonts w:eastAsia="Arial Unicode MS"/>
                <w:sz w:val="24"/>
                <w:szCs w:val="24"/>
              </w:rPr>
              <w:lastRenderedPageBreak/>
              <w:t xml:space="preserve">efecto y que </w:t>
            </w:r>
            <w:r w:rsidR="00AB63DB" w:rsidRPr="000A01D2">
              <w:rPr>
                <w:rFonts w:eastAsia="Dotum"/>
                <w:sz w:val="24"/>
                <w:szCs w:val="24"/>
              </w:rPr>
              <w:t xml:space="preserve"> admitió una afiliación  sin enterar al interesado de las reales circunstancias pensionales del régimen de ahorro individual y con consecuencias frente a la dejación del de prima media con prestación  definida que traía en la CAJA NACIONAL DE PREVISIÓN, amén de ser beneficiario del régimen de transición de la Ley 100 de 1993.</w:t>
            </w:r>
          </w:p>
          <w:p w14:paraId="6835DB31" w14:textId="15C55F0A" w:rsidR="00AB63DB" w:rsidRPr="000A01D2" w:rsidRDefault="00F057A6" w:rsidP="000A01D2">
            <w:pPr>
              <w:spacing w:line="480" w:lineRule="auto"/>
              <w:rPr>
                <w:sz w:val="24"/>
                <w:szCs w:val="24"/>
              </w:rPr>
            </w:pPr>
            <w:r w:rsidRPr="000A01D2">
              <w:rPr>
                <w:rFonts w:eastAsia="Dotum"/>
                <w:sz w:val="24"/>
                <w:szCs w:val="24"/>
              </w:rPr>
              <w:t xml:space="preserve">Acerca de la omisión, </w:t>
            </w:r>
            <w:r w:rsidR="00AB63DB" w:rsidRPr="000A01D2">
              <w:rPr>
                <w:rFonts w:eastAsia="Dotum"/>
                <w:sz w:val="24"/>
                <w:szCs w:val="24"/>
              </w:rPr>
              <w:t xml:space="preserve">con su obligación de </w:t>
            </w:r>
            <w:r w:rsidR="00AB63DB" w:rsidRPr="000A01D2">
              <w:rPr>
                <w:sz w:val="24"/>
                <w:szCs w:val="24"/>
              </w:rPr>
              <w:t xml:space="preserve">proporcionar una información completa </w:t>
            </w:r>
            <w:r w:rsidRPr="000A01D2">
              <w:rPr>
                <w:sz w:val="24"/>
                <w:szCs w:val="24"/>
              </w:rPr>
              <w:t xml:space="preserve">se </w:t>
            </w:r>
            <w:r w:rsidR="00AB63DB" w:rsidRPr="000A01D2">
              <w:rPr>
                <w:sz w:val="24"/>
                <w:szCs w:val="24"/>
              </w:rPr>
              <w:t>cita</w:t>
            </w:r>
            <w:r w:rsidRPr="000A01D2">
              <w:rPr>
                <w:sz w:val="24"/>
                <w:szCs w:val="24"/>
              </w:rPr>
              <w:t xml:space="preserve"> </w:t>
            </w:r>
            <w:r w:rsidRPr="000A01D2">
              <w:rPr>
                <w:i/>
                <w:sz w:val="24"/>
                <w:szCs w:val="24"/>
              </w:rPr>
              <w:t>in extenso</w:t>
            </w:r>
            <w:r w:rsidR="00AB63DB" w:rsidRPr="000A01D2">
              <w:rPr>
                <w:sz w:val="24"/>
                <w:szCs w:val="24"/>
              </w:rPr>
              <w:t xml:space="preserve"> la </w:t>
            </w:r>
            <w:r w:rsidRPr="000A01D2">
              <w:rPr>
                <w:sz w:val="24"/>
                <w:szCs w:val="24"/>
              </w:rPr>
              <w:t>S</w:t>
            </w:r>
            <w:r w:rsidR="00D30EF0" w:rsidRPr="000A01D2">
              <w:rPr>
                <w:sz w:val="24"/>
                <w:szCs w:val="24"/>
              </w:rPr>
              <w:t>entencia 31989 de 2008.</w:t>
            </w:r>
          </w:p>
        </w:tc>
      </w:tr>
    </w:tbl>
    <w:p w14:paraId="087DA321" w14:textId="77777777" w:rsidR="001D4A42" w:rsidRDefault="001D4A42" w:rsidP="000A01D2">
      <w:pPr>
        <w:spacing w:line="480" w:lineRule="auto"/>
        <w:rPr>
          <w:b/>
          <w:lang w:val="es-ES"/>
        </w:rPr>
      </w:pPr>
    </w:p>
    <w:p w14:paraId="3ACB72D7" w14:textId="77777777" w:rsidR="00A8717D" w:rsidRPr="000A01D2" w:rsidRDefault="00A8717D" w:rsidP="000A01D2">
      <w:pPr>
        <w:spacing w:line="480" w:lineRule="auto"/>
        <w:rPr>
          <w:b/>
          <w:lang w:val="es-ES"/>
        </w:rPr>
      </w:pPr>
    </w:p>
    <w:tbl>
      <w:tblPr>
        <w:tblStyle w:val="Tablaconcuadrcula"/>
        <w:tblpPr w:leftFromText="141" w:rightFromText="141" w:vertAnchor="text" w:horzAnchor="margin" w:tblpXSpec="center" w:tblpY="67"/>
        <w:tblW w:w="0" w:type="auto"/>
        <w:tblBorders>
          <w:top w:val="none" w:sz="0" w:space="0" w:color="auto"/>
          <w:left w:val="none" w:sz="0" w:space="0" w:color="auto"/>
          <w:bottom w:val="none" w:sz="0" w:space="0" w:color="auto"/>
          <w:right w:val="none" w:sz="0" w:space="0" w:color="auto"/>
          <w:insideV w:val="none" w:sz="0" w:space="0" w:color="auto"/>
        </w:tblBorders>
        <w:shd w:val="clear" w:color="auto" w:fill="FFFFFF" w:themeFill="background1"/>
        <w:tblLook w:val="04A0" w:firstRow="1" w:lastRow="0" w:firstColumn="1" w:lastColumn="0" w:noHBand="0" w:noVBand="1"/>
      </w:tblPr>
      <w:tblGrid>
        <w:gridCol w:w="2115"/>
        <w:gridCol w:w="6371"/>
      </w:tblGrid>
      <w:tr w:rsidR="00932CDB" w:rsidRPr="000A01D2" w14:paraId="02CA206D" w14:textId="77777777" w:rsidTr="00FD720D">
        <w:trPr>
          <w:trHeight w:val="841"/>
        </w:trPr>
        <w:tc>
          <w:tcPr>
            <w:tcW w:w="0" w:type="auto"/>
            <w:gridSpan w:val="2"/>
            <w:shd w:val="clear" w:color="auto" w:fill="FFFFFF" w:themeFill="background1"/>
          </w:tcPr>
          <w:p w14:paraId="05F0FBF9" w14:textId="08FF212E" w:rsidR="00932CDB" w:rsidRPr="000A01D2" w:rsidRDefault="00932CDB" w:rsidP="000A01D2">
            <w:pPr>
              <w:spacing w:line="480" w:lineRule="auto"/>
              <w:rPr>
                <w:sz w:val="24"/>
                <w:szCs w:val="24"/>
              </w:rPr>
            </w:pPr>
            <w:r w:rsidRPr="000A01D2">
              <w:rPr>
                <w:sz w:val="24"/>
                <w:szCs w:val="24"/>
              </w:rPr>
              <w:t>Tabla 3</w:t>
            </w:r>
          </w:p>
          <w:p w14:paraId="6CD0012E" w14:textId="3EA88B26" w:rsidR="00932CDB" w:rsidRPr="000A01D2" w:rsidRDefault="00932CDB" w:rsidP="000A01D2">
            <w:pPr>
              <w:spacing w:line="480" w:lineRule="auto"/>
              <w:rPr>
                <w:i/>
                <w:sz w:val="24"/>
                <w:szCs w:val="24"/>
              </w:rPr>
            </w:pPr>
            <w:r w:rsidRPr="000A01D2">
              <w:rPr>
                <w:i/>
                <w:sz w:val="24"/>
                <w:szCs w:val="24"/>
              </w:rPr>
              <w:t>Sentencia SL 33083-2011</w:t>
            </w:r>
          </w:p>
        </w:tc>
      </w:tr>
      <w:tr w:rsidR="00AB63DB" w:rsidRPr="000A01D2" w14:paraId="21660B33" w14:textId="77777777" w:rsidTr="00FD720D">
        <w:trPr>
          <w:trHeight w:val="841"/>
        </w:trPr>
        <w:tc>
          <w:tcPr>
            <w:tcW w:w="0" w:type="auto"/>
            <w:shd w:val="clear" w:color="auto" w:fill="FFFFFF" w:themeFill="background1"/>
            <w:hideMark/>
          </w:tcPr>
          <w:p w14:paraId="0E1D5530" w14:textId="77777777" w:rsidR="00AB63DB" w:rsidRPr="000A01D2" w:rsidRDefault="00AB63DB" w:rsidP="000A01D2">
            <w:pPr>
              <w:spacing w:line="480" w:lineRule="auto"/>
              <w:rPr>
                <w:b/>
                <w:sz w:val="24"/>
                <w:szCs w:val="24"/>
              </w:rPr>
            </w:pPr>
            <w:r w:rsidRPr="000A01D2">
              <w:rPr>
                <w:b/>
                <w:sz w:val="24"/>
                <w:szCs w:val="24"/>
              </w:rPr>
              <w:t>Identificación</w:t>
            </w:r>
          </w:p>
        </w:tc>
        <w:tc>
          <w:tcPr>
            <w:tcW w:w="0" w:type="auto"/>
            <w:shd w:val="clear" w:color="auto" w:fill="FFFFFF" w:themeFill="background1"/>
          </w:tcPr>
          <w:p w14:paraId="33C4D682" w14:textId="40481EB1" w:rsidR="00AB63DB" w:rsidRPr="000A01D2" w:rsidRDefault="00AB63DB" w:rsidP="003F6831">
            <w:pPr>
              <w:spacing w:line="480" w:lineRule="auto"/>
              <w:rPr>
                <w:b/>
                <w:bCs/>
                <w:sz w:val="24"/>
                <w:szCs w:val="24"/>
              </w:rPr>
            </w:pPr>
            <w:r w:rsidRPr="000A01D2">
              <w:rPr>
                <w:sz w:val="24"/>
                <w:szCs w:val="24"/>
              </w:rPr>
              <w:t>Corte Suprema de Justicia – Sala Laboral-</w:t>
            </w:r>
            <w:r w:rsidRPr="000A01D2">
              <w:rPr>
                <w:rFonts w:eastAsia="Times New Roman"/>
                <w:sz w:val="24"/>
                <w:szCs w:val="24"/>
                <w:lang w:eastAsia="es-ES"/>
              </w:rPr>
              <w:t xml:space="preserve">Rad. No. 33083 </w:t>
            </w:r>
            <w:r w:rsidRPr="000A01D2">
              <w:rPr>
                <w:rFonts w:eastAsia="Times New Roman"/>
                <w:sz w:val="24"/>
                <w:szCs w:val="24"/>
              </w:rPr>
              <w:t xml:space="preserve"> </w:t>
            </w:r>
            <w:r w:rsidRPr="000A01D2">
              <w:rPr>
                <w:rFonts w:eastAsia="Times New Roman"/>
                <w:sz w:val="24"/>
                <w:szCs w:val="24"/>
                <w:lang w:eastAsia="es-ES"/>
              </w:rPr>
              <w:t xml:space="preserve">veintidós (22) de noviembre de dos mil once (2011) </w:t>
            </w:r>
          </w:p>
        </w:tc>
      </w:tr>
      <w:tr w:rsidR="00AB63DB" w:rsidRPr="000A01D2" w14:paraId="64C6FDA4" w14:textId="77777777" w:rsidTr="00FD720D">
        <w:tc>
          <w:tcPr>
            <w:tcW w:w="0" w:type="auto"/>
            <w:shd w:val="clear" w:color="auto" w:fill="FFFFFF" w:themeFill="background1"/>
            <w:hideMark/>
          </w:tcPr>
          <w:p w14:paraId="62C8726D" w14:textId="77777777" w:rsidR="00AB63DB" w:rsidRPr="000A01D2" w:rsidRDefault="00AB63DB" w:rsidP="000A01D2">
            <w:pPr>
              <w:spacing w:line="480" w:lineRule="auto"/>
              <w:rPr>
                <w:b/>
                <w:sz w:val="24"/>
                <w:szCs w:val="24"/>
              </w:rPr>
            </w:pPr>
            <w:r w:rsidRPr="000A01D2">
              <w:rPr>
                <w:b/>
                <w:sz w:val="24"/>
                <w:szCs w:val="24"/>
              </w:rPr>
              <w:t>Magistrado ponente</w:t>
            </w:r>
          </w:p>
        </w:tc>
        <w:tc>
          <w:tcPr>
            <w:tcW w:w="0" w:type="auto"/>
            <w:shd w:val="clear" w:color="auto" w:fill="FFFFFF" w:themeFill="background1"/>
          </w:tcPr>
          <w:p w14:paraId="3EDAA3B4" w14:textId="7E9566F8" w:rsidR="00AB63DB" w:rsidRPr="000A01D2" w:rsidRDefault="00703B7E" w:rsidP="000A01D2">
            <w:pPr>
              <w:spacing w:line="480" w:lineRule="auto"/>
              <w:rPr>
                <w:sz w:val="24"/>
                <w:szCs w:val="24"/>
              </w:rPr>
            </w:pPr>
            <w:r w:rsidRPr="000A01D2">
              <w:rPr>
                <w:sz w:val="24"/>
                <w:szCs w:val="24"/>
              </w:rPr>
              <w:t>Elsy d</w:t>
            </w:r>
            <w:r w:rsidR="00D30EF0" w:rsidRPr="000A01D2">
              <w:rPr>
                <w:sz w:val="24"/>
                <w:szCs w:val="24"/>
              </w:rPr>
              <w:t>el Pilar Cuello Calderón</w:t>
            </w:r>
          </w:p>
        </w:tc>
      </w:tr>
      <w:tr w:rsidR="00AB63DB" w:rsidRPr="000A01D2" w14:paraId="4121D958" w14:textId="77777777" w:rsidTr="00FD720D">
        <w:tc>
          <w:tcPr>
            <w:tcW w:w="0" w:type="auto"/>
            <w:shd w:val="clear" w:color="auto" w:fill="FFFFFF" w:themeFill="background1"/>
            <w:hideMark/>
          </w:tcPr>
          <w:p w14:paraId="40FD60D5" w14:textId="77777777" w:rsidR="00AB63DB" w:rsidRPr="000A01D2" w:rsidRDefault="00AB63DB" w:rsidP="000A01D2">
            <w:pPr>
              <w:spacing w:line="480" w:lineRule="auto"/>
              <w:rPr>
                <w:b/>
                <w:sz w:val="24"/>
                <w:szCs w:val="24"/>
              </w:rPr>
            </w:pPr>
            <w:r w:rsidRPr="000A01D2">
              <w:rPr>
                <w:b/>
                <w:sz w:val="24"/>
                <w:szCs w:val="24"/>
              </w:rPr>
              <w:t>Partes</w:t>
            </w:r>
          </w:p>
        </w:tc>
        <w:tc>
          <w:tcPr>
            <w:tcW w:w="0" w:type="auto"/>
            <w:shd w:val="clear" w:color="auto" w:fill="FFFFFF" w:themeFill="background1"/>
          </w:tcPr>
          <w:p w14:paraId="5378A691" w14:textId="68532174" w:rsidR="00AB63DB" w:rsidRPr="000A01D2" w:rsidRDefault="00D30EF0" w:rsidP="000A01D2">
            <w:pPr>
              <w:spacing w:line="480" w:lineRule="auto"/>
              <w:rPr>
                <w:sz w:val="24"/>
                <w:szCs w:val="24"/>
              </w:rPr>
            </w:pPr>
            <w:r w:rsidRPr="000A01D2">
              <w:rPr>
                <w:b/>
                <w:sz w:val="24"/>
                <w:szCs w:val="24"/>
              </w:rPr>
              <w:t xml:space="preserve">Demandante: </w:t>
            </w:r>
            <w:r w:rsidRPr="000A01D2">
              <w:rPr>
                <w:rFonts w:eastAsia="Times New Roman"/>
                <w:b/>
                <w:bCs/>
                <w:sz w:val="24"/>
                <w:szCs w:val="24"/>
              </w:rPr>
              <w:t xml:space="preserve"> </w:t>
            </w:r>
            <w:r w:rsidRPr="000A01D2">
              <w:rPr>
                <w:bCs/>
                <w:sz w:val="24"/>
                <w:szCs w:val="24"/>
              </w:rPr>
              <w:t>Eduardo Humberto Sanz Gutiérrez</w:t>
            </w:r>
          </w:p>
          <w:p w14:paraId="569AE4B0" w14:textId="127808B7" w:rsidR="00AB63DB" w:rsidRPr="000A01D2" w:rsidRDefault="00D30EF0" w:rsidP="000A01D2">
            <w:pPr>
              <w:spacing w:line="480" w:lineRule="auto"/>
              <w:rPr>
                <w:sz w:val="24"/>
                <w:szCs w:val="24"/>
              </w:rPr>
            </w:pPr>
            <w:r w:rsidRPr="000A01D2">
              <w:rPr>
                <w:b/>
                <w:sz w:val="24"/>
                <w:szCs w:val="24"/>
              </w:rPr>
              <w:t xml:space="preserve">Demandado: </w:t>
            </w:r>
            <w:r w:rsidRPr="000A01D2">
              <w:rPr>
                <w:sz w:val="24"/>
                <w:szCs w:val="24"/>
              </w:rPr>
              <w:t>Instituto De Seguros Sociales y</w:t>
            </w:r>
            <w:r w:rsidR="002120BA" w:rsidRPr="000A01D2">
              <w:rPr>
                <w:sz w:val="24"/>
                <w:szCs w:val="24"/>
              </w:rPr>
              <w:t xml:space="preserve"> Administradora d</w:t>
            </w:r>
            <w:r w:rsidRPr="000A01D2">
              <w:rPr>
                <w:sz w:val="24"/>
                <w:szCs w:val="24"/>
              </w:rPr>
              <w:t xml:space="preserve">e Fondos </w:t>
            </w:r>
            <w:r w:rsidR="002120BA" w:rsidRPr="000A01D2">
              <w:rPr>
                <w:sz w:val="24"/>
                <w:szCs w:val="24"/>
              </w:rPr>
              <w:t>d</w:t>
            </w:r>
            <w:r w:rsidRPr="000A01D2">
              <w:rPr>
                <w:sz w:val="24"/>
                <w:szCs w:val="24"/>
              </w:rPr>
              <w:t xml:space="preserve">e Pensiones </w:t>
            </w:r>
            <w:r w:rsidR="002120BA" w:rsidRPr="000A01D2">
              <w:rPr>
                <w:sz w:val="24"/>
                <w:szCs w:val="24"/>
              </w:rPr>
              <w:t>y</w:t>
            </w:r>
            <w:r w:rsidRPr="000A01D2">
              <w:rPr>
                <w:sz w:val="24"/>
                <w:szCs w:val="24"/>
              </w:rPr>
              <w:t xml:space="preserve"> Cesantías Protección S.A. </w:t>
            </w:r>
          </w:p>
          <w:p w14:paraId="0F440FE1" w14:textId="77777777" w:rsidR="00AB63DB" w:rsidRPr="000A01D2" w:rsidRDefault="00AB63DB" w:rsidP="000A01D2">
            <w:pPr>
              <w:spacing w:line="480" w:lineRule="auto"/>
              <w:rPr>
                <w:sz w:val="24"/>
                <w:szCs w:val="24"/>
              </w:rPr>
            </w:pPr>
          </w:p>
        </w:tc>
      </w:tr>
      <w:tr w:rsidR="00AB63DB" w:rsidRPr="000A01D2" w14:paraId="76662D7E" w14:textId="77777777" w:rsidTr="00FD720D">
        <w:tc>
          <w:tcPr>
            <w:tcW w:w="0" w:type="auto"/>
            <w:shd w:val="clear" w:color="auto" w:fill="FFFFFF" w:themeFill="background1"/>
          </w:tcPr>
          <w:p w14:paraId="4A9BDE0F" w14:textId="77777777" w:rsidR="00AB63DB" w:rsidRPr="000A01D2" w:rsidRDefault="00AB63DB" w:rsidP="000A01D2">
            <w:pPr>
              <w:spacing w:line="480" w:lineRule="auto"/>
              <w:rPr>
                <w:b/>
                <w:sz w:val="24"/>
                <w:szCs w:val="24"/>
              </w:rPr>
            </w:pPr>
            <w:r w:rsidRPr="000A01D2">
              <w:rPr>
                <w:b/>
                <w:sz w:val="24"/>
                <w:szCs w:val="24"/>
              </w:rPr>
              <w:t>Temas</w:t>
            </w:r>
          </w:p>
        </w:tc>
        <w:tc>
          <w:tcPr>
            <w:tcW w:w="0" w:type="auto"/>
            <w:shd w:val="clear" w:color="auto" w:fill="FFFFFF" w:themeFill="background1"/>
          </w:tcPr>
          <w:p w14:paraId="58A2BE2A" w14:textId="77777777" w:rsidR="00AB63DB" w:rsidRPr="000A01D2" w:rsidRDefault="00AB63DB" w:rsidP="000A01D2">
            <w:pPr>
              <w:spacing w:line="480" w:lineRule="auto"/>
              <w:rPr>
                <w:sz w:val="24"/>
                <w:szCs w:val="24"/>
              </w:rPr>
            </w:pPr>
            <w:r w:rsidRPr="000A01D2">
              <w:rPr>
                <w:sz w:val="24"/>
                <w:szCs w:val="24"/>
              </w:rPr>
              <w:t xml:space="preserve">Ineficacia - Nulidad del traslado de régimen, pensión de vejez e intereses moratorios. </w:t>
            </w:r>
          </w:p>
        </w:tc>
      </w:tr>
      <w:tr w:rsidR="00AB63DB" w:rsidRPr="000A01D2" w14:paraId="50FD72AA" w14:textId="77777777" w:rsidTr="00FD720D">
        <w:tc>
          <w:tcPr>
            <w:tcW w:w="0" w:type="auto"/>
            <w:shd w:val="clear" w:color="auto" w:fill="FFFFFF" w:themeFill="background1"/>
            <w:hideMark/>
          </w:tcPr>
          <w:p w14:paraId="48EC2B9E" w14:textId="3905C0D3" w:rsidR="00AB63DB" w:rsidRPr="000A01D2" w:rsidRDefault="002120BA" w:rsidP="000A01D2">
            <w:pPr>
              <w:spacing w:line="480" w:lineRule="auto"/>
              <w:rPr>
                <w:b/>
                <w:sz w:val="24"/>
                <w:szCs w:val="24"/>
              </w:rPr>
            </w:pPr>
            <w:r w:rsidRPr="000A01D2">
              <w:rPr>
                <w:b/>
                <w:sz w:val="24"/>
                <w:szCs w:val="24"/>
              </w:rPr>
              <w:lastRenderedPageBreak/>
              <w:t>Hechos jurídicamente relevantes</w:t>
            </w:r>
          </w:p>
        </w:tc>
        <w:tc>
          <w:tcPr>
            <w:tcW w:w="0" w:type="auto"/>
            <w:shd w:val="clear" w:color="auto" w:fill="FFFFFF" w:themeFill="background1"/>
          </w:tcPr>
          <w:p w14:paraId="13026152" w14:textId="1F866F3D" w:rsidR="00AB63DB" w:rsidRPr="000A01D2" w:rsidRDefault="00AB63DB" w:rsidP="000A01D2">
            <w:pPr>
              <w:spacing w:line="480" w:lineRule="auto"/>
              <w:rPr>
                <w:sz w:val="24"/>
                <w:szCs w:val="24"/>
              </w:rPr>
            </w:pPr>
            <w:r w:rsidRPr="000A01D2">
              <w:rPr>
                <w:sz w:val="24"/>
                <w:szCs w:val="24"/>
              </w:rPr>
              <w:t xml:space="preserve">El demandante expone que nació el 13 de octubre de 1944, laboró en el sector público y privado, efectuando aportes al INSTITUTO DE SEGUROS SOCIALES y a la ADMINISTRADOTRA DE FONDOS DE PENSIONES Y DE CESANTÍAS PROTECCIÓN </w:t>
            </w:r>
            <w:r w:rsidR="00B159E5" w:rsidRPr="000A01D2">
              <w:rPr>
                <w:sz w:val="24"/>
                <w:szCs w:val="24"/>
              </w:rPr>
              <w:t>S.A.</w:t>
            </w:r>
          </w:p>
          <w:p w14:paraId="5D5C4CB2" w14:textId="5383771B" w:rsidR="00AB63DB" w:rsidRPr="000A01D2" w:rsidRDefault="002120BA" w:rsidP="000A01D2">
            <w:pPr>
              <w:spacing w:line="480" w:lineRule="auto"/>
              <w:rPr>
                <w:sz w:val="24"/>
                <w:szCs w:val="24"/>
              </w:rPr>
            </w:pPr>
            <w:r w:rsidRPr="000A01D2">
              <w:rPr>
                <w:sz w:val="24"/>
                <w:szCs w:val="24"/>
              </w:rPr>
              <w:t>Manifestó que</w:t>
            </w:r>
            <w:r w:rsidR="00AB63DB" w:rsidRPr="000A01D2">
              <w:rPr>
                <w:sz w:val="24"/>
                <w:szCs w:val="24"/>
              </w:rPr>
              <w:t xml:space="preserve"> “con mentiras” se le convenció que se vinculara desde el 12 de agosto de 2002, pues “le prometieron que se pensionaría antes de los 60 años de edad, en cambio en el ISS tenía que esperar hasta los 60 años”, solicitó la pensión antes de cumplir esa edad, pero le respondieron que estudiarían si el bono le alcanzaba para pensionarse, es decir, “fue engañado y asaltado en su buena fe por el Fondo”. </w:t>
            </w:r>
            <w:r w:rsidR="00CC7181">
              <w:rPr>
                <w:sz w:val="24"/>
                <w:szCs w:val="24"/>
              </w:rPr>
              <w:t>A</w:t>
            </w:r>
            <w:r w:rsidR="00AB63DB" w:rsidRPr="000A01D2">
              <w:rPr>
                <w:sz w:val="24"/>
                <w:szCs w:val="24"/>
              </w:rPr>
              <w:t>nte esa realidad</w:t>
            </w:r>
            <w:r w:rsidR="00CC7181">
              <w:rPr>
                <w:sz w:val="24"/>
                <w:szCs w:val="24"/>
              </w:rPr>
              <w:t>,</w:t>
            </w:r>
            <w:r w:rsidR="00AB63DB" w:rsidRPr="000A01D2">
              <w:rPr>
                <w:sz w:val="24"/>
                <w:szCs w:val="24"/>
              </w:rPr>
              <w:t xml:space="preserve"> “diferente a las promesas hechas”</w:t>
            </w:r>
            <w:r w:rsidR="00CC7181">
              <w:rPr>
                <w:sz w:val="24"/>
                <w:szCs w:val="24"/>
              </w:rPr>
              <w:t>,</w:t>
            </w:r>
            <w:r w:rsidR="00AB63DB" w:rsidRPr="000A01D2">
              <w:rPr>
                <w:sz w:val="24"/>
                <w:szCs w:val="24"/>
              </w:rPr>
              <w:t xml:space="preserve"> le negó con el argumento que esperara hasta los 62.</w:t>
            </w:r>
          </w:p>
          <w:p w14:paraId="38F73490" w14:textId="757D346D" w:rsidR="00AB63DB" w:rsidRPr="000A01D2" w:rsidRDefault="00AB63DB" w:rsidP="000A01D2">
            <w:pPr>
              <w:spacing w:line="480" w:lineRule="auto"/>
              <w:rPr>
                <w:sz w:val="24"/>
                <w:szCs w:val="24"/>
              </w:rPr>
            </w:pPr>
            <w:r w:rsidRPr="000A01D2">
              <w:rPr>
                <w:sz w:val="24"/>
                <w:szCs w:val="24"/>
              </w:rPr>
              <w:t>Efectuó la petición al ISS sobre el reconocimiento de la pensión de vejez, sin embargo se le indicó que era la AFP la obligada.</w:t>
            </w:r>
          </w:p>
          <w:p w14:paraId="7EA8415D" w14:textId="161C3604" w:rsidR="00AB63DB" w:rsidRPr="000A01D2" w:rsidRDefault="00AB63DB" w:rsidP="000A01D2">
            <w:pPr>
              <w:spacing w:line="480" w:lineRule="auto"/>
              <w:rPr>
                <w:sz w:val="24"/>
                <w:szCs w:val="24"/>
              </w:rPr>
            </w:pPr>
            <w:r w:rsidRPr="000A01D2">
              <w:rPr>
                <w:sz w:val="24"/>
                <w:szCs w:val="24"/>
              </w:rPr>
              <w:t>Acreditó el cumplimiento de los 60 año</w:t>
            </w:r>
            <w:r w:rsidR="000E31D8" w:rsidRPr="000A01D2">
              <w:rPr>
                <w:sz w:val="24"/>
                <w:szCs w:val="24"/>
              </w:rPr>
              <w:t>s de edad, más de 1000 semanas</w:t>
            </w:r>
            <w:r w:rsidRPr="000A01D2">
              <w:rPr>
                <w:sz w:val="24"/>
                <w:szCs w:val="24"/>
              </w:rPr>
              <w:t xml:space="preserve"> y hasta el 31 de marzo de 2004 había cotizado más de 750 semanas.</w:t>
            </w:r>
          </w:p>
          <w:p w14:paraId="17E090D0" w14:textId="0D4D7D95" w:rsidR="00AB63DB" w:rsidRPr="000A01D2" w:rsidRDefault="000E31D8" w:rsidP="000A01D2">
            <w:pPr>
              <w:spacing w:line="480" w:lineRule="auto"/>
              <w:rPr>
                <w:sz w:val="24"/>
                <w:szCs w:val="24"/>
              </w:rPr>
            </w:pPr>
            <w:r w:rsidRPr="000A01D2">
              <w:rPr>
                <w:sz w:val="24"/>
                <w:szCs w:val="24"/>
              </w:rPr>
              <w:t>El ISS</w:t>
            </w:r>
            <w:r w:rsidR="00AB63DB" w:rsidRPr="000A01D2">
              <w:rPr>
                <w:sz w:val="24"/>
                <w:szCs w:val="24"/>
              </w:rPr>
              <w:t xml:space="preserve"> al contestar la demanda, se opuso a l</w:t>
            </w:r>
            <w:r w:rsidRPr="000A01D2">
              <w:rPr>
                <w:sz w:val="24"/>
                <w:szCs w:val="24"/>
              </w:rPr>
              <w:t>as pretensiones del actor,</w:t>
            </w:r>
            <w:r w:rsidR="00AB63DB" w:rsidRPr="000A01D2">
              <w:rPr>
                <w:sz w:val="24"/>
                <w:szCs w:val="24"/>
              </w:rPr>
              <w:t xml:space="preserve"> aceptó </w:t>
            </w:r>
            <w:r w:rsidRPr="000A01D2">
              <w:rPr>
                <w:sz w:val="24"/>
                <w:szCs w:val="24"/>
              </w:rPr>
              <w:t xml:space="preserve">el </w:t>
            </w:r>
            <w:r w:rsidR="00AB63DB" w:rsidRPr="000A01D2">
              <w:rPr>
                <w:sz w:val="24"/>
                <w:szCs w:val="24"/>
              </w:rPr>
              <w:t xml:space="preserve">otorgamiento de la pensión a los 60 años de edad, en el evento de ser la obligada, la solicitud de pensión </w:t>
            </w:r>
            <w:r w:rsidRPr="000A01D2">
              <w:rPr>
                <w:sz w:val="24"/>
                <w:szCs w:val="24"/>
              </w:rPr>
              <w:t>de vejez realizada por el actor</w:t>
            </w:r>
            <w:r w:rsidR="00AB63DB" w:rsidRPr="000A01D2">
              <w:rPr>
                <w:sz w:val="24"/>
                <w:szCs w:val="24"/>
              </w:rPr>
              <w:t xml:space="preserve"> y las semanas </w:t>
            </w:r>
            <w:r w:rsidRPr="000A01D2">
              <w:rPr>
                <w:sz w:val="24"/>
                <w:szCs w:val="24"/>
              </w:rPr>
              <w:t xml:space="preserve">cotizadas; los otros, </w:t>
            </w:r>
            <w:r w:rsidRPr="000A01D2">
              <w:rPr>
                <w:sz w:val="24"/>
                <w:szCs w:val="24"/>
              </w:rPr>
              <w:lastRenderedPageBreak/>
              <w:t>los negó</w:t>
            </w:r>
            <w:r w:rsidR="00AB63DB" w:rsidRPr="000A01D2">
              <w:rPr>
                <w:sz w:val="24"/>
                <w:szCs w:val="24"/>
              </w:rPr>
              <w:t xml:space="preserve"> o expresó no constarle. </w:t>
            </w:r>
          </w:p>
          <w:p w14:paraId="1D203124" w14:textId="687B58E0" w:rsidR="00AB63DB" w:rsidRPr="000A01D2" w:rsidRDefault="00AB63DB" w:rsidP="000A01D2">
            <w:pPr>
              <w:spacing w:line="480" w:lineRule="auto"/>
              <w:rPr>
                <w:sz w:val="24"/>
                <w:szCs w:val="24"/>
              </w:rPr>
            </w:pPr>
            <w:r w:rsidRPr="000A01D2">
              <w:rPr>
                <w:sz w:val="24"/>
                <w:szCs w:val="24"/>
              </w:rPr>
              <w:t>Protección S</w:t>
            </w:r>
            <w:r w:rsidR="000E31D8" w:rsidRPr="000A01D2">
              <w:rPr>
                <w:sz w:val="24"/>
                <w:szCs w:val="24"/>
              </w:rPr>
              <w:t>.A. se opuso a las pretensiones,</w:t>
            </w:r>
            <w:r w:rsidRPr="000A01D2">
              <w:rPr>
                <w:sz w:val="24"/>
                <w:szCs w:val="24"/>
              </w:rPr>
              <w:t xml:space="preserve"> aceptó los aportes para pensión, el otorgamiento de la pensión a los 60 años de edad, en el evento de reunir los requisitos de edad y semanas de cotización exigidas, respuesta adversa a la solicitud de reconocimiento de la pensión de vejez y las 750 semanas cotizadas al 1o de abril de 1994; los demás hechos los negó o expresó no constarle. </w:t>
            </w:r>
          </w:p>
          <w:p w14:paraId="7709E0AE" w14:textId="681DD1AA" w:rsidR="00AB63DB" w:rsidRPr="000A01D2" w:rsidRDefault="00AB63DB" w:rsidP="000A01D2">
            <w:pPr>
              <w:spacing w:line="480" w:lineRule="auto"/>
              <w:rPr>
                <w:sz w:val="24"/>
                <w:szCs w:val="24"/>
              </w:rPr>
            </w:pPr>
            <w:r w:rsidRPr="000A01D2">
              <w:rPr>
                <w:sz w:val="24"/>
                <w:szCs w:val="24"/>
              </w:rPr>
              <w:t>Explicó que el demanda</w:t>
            </w:r>
            <w:r w:rsidR="000E31D8" w:rsidRPr="000A01D2">
              <w:rPr>
                <w:sz w:val="24"/>
                <w:szCs w:val="24"/>
              </w:rPr>
              <w:t>nte tuvo la asesoría de la AFP</w:t>
            </w:r>
            <w:r w:rsidRPr="000A01D2">
              <w:rPr>
                <w:sz w:val="24"/>
                <w:szCs w:val="24"/>
              </w:rPr>
              <w:t xml:space="preserve"> con “todo profesionalismo e idoneidad” y que así era él quien elegía y adjunt</w:t>
            </w:r>
            <w:r w:rsidR="00CC7181">
              <w:rPr>
                <w:sz w:val="24"/>
                <w:szCs w:val="24"/>
              </w:rPr>
              <w:t>ó</w:t>
            </w:r>
            <w:r w:rsidRPr="000A01D2">
              <w:rPr>
                <w:sz w:val="24"/>
                <w:szCs w:val="24"/>
              </w:rPr>
              <w:t xml:space="preserve"> los cálculos en los 2 regímenes de los cuales se “desprenden las ventajas del traslado (</w:t>
            </w:r>
            <w:r w:rsidR="00B159E5" w:rsidRPr="000A01D2">
              <w:rPr>
                <w:sz w:val="24"/>
                <w:szCs w:val="24"/>
              </w:rPr>
              <w:t>...)</w:t>
            </w:r>
            <w:r w:rsidRPr="000A01D2">
              <w:rPr>
                <w:sz w:val="24"/>
                <w:szCs w:val="24"/>
              </w:rPr>
              <w:t xml:space="preserve"> ya que obtendría una mejor mesada” frente al ISS. </w:t>
            </w:r>
          </w:p>
        </w:tc>
      </w:tr>
      <w:tr w:rsidR="00AB63DB" w:rsidRPr="000A01D2" w14:paraId="076FE072" w14:textId="77777777" w:rsidTr="00FD720D">
        <w:tc>
          <w:tcPr>
            <w:tcW w:w="0" w:type="auto"/>
            <w:shd w:val="clear" w:color="auto" w:fill="FFFFFF" w:themeFill="background1"/>
          </w:tcPr>
          <w:p w14:paraId="2624BC8D" w14:textId="77777777" w:rsidR="00AB63DB" w:rsidRPr="000A01D2" w:rsidRDefault="00AB63DB" w:rsidP="000A01D2">
            <w:pPr>
              <w:spacing w:line="480" w:lineRule="auto"/>
              <w:rPr>
                <w:b/>
                <w:sz w:val="24"/>
                <w:szCs w:val="24"/>
              </w:rPr>
            </w:pPr>
            <w:r w:rsidRPr="000A01D2">
              <w:rPr>
                <w:b/>
                <w:sz w:val="24"/>
                <w:szCs w:val="24"/>
              </w:rPr>
              <w:lastRenderedPageBreak/>
              <w:t>Decisiones en cada instancia</w:t>
            </w:r>
          </w:p>
        </w:tc>
        <w:tc>
          <w:tcPr>
            <w:tcW w:w="0" w:type="auto"/>
            <w:shd w:val="clear" w:color="auto" w:fill="FFFFFF" w:themeFill="background1"/>
          </w:tcPr>
          <w:p w14:paraId="6A622A10" w14:textId="4F40A3DB" w:rsidR="00AB63DB" w:rsidRPr="000A01D2" w:rsidRDefault="002120BA" w:rsidP="000A01D2">
            <w:pPr>
              <w:spacing w:line="480" w:lineRule="auto"/>
              <w:rPr>
                <w:bCs/>
                <w:iCs/>
                <w:sz w:val="24"/>
                <w:szCs w:val="24"/>
              </w:rPr>
            </w:pPr>
            <w:r w:rsidRPr="000A01D2">
              <w:rPr>
                <w:b/>
                <w:bCs/>
                <w:iCs/>
                <w:sz w:val="24"/>
                <w:szCs w:val="24"/>
              </w:rPr>
              <w:t>Primera Instancia:</w:t>
            </w:r>
            <w:r w:rsidRPr="000A01D2">
              <w:rPr>
                <w:bCs/>
                <w:iCs/>
                <w:sz w:val="24"/>
                <w:szCs w:val="24"/>
              </w:rPr>
              <w:t xml:space="preserve"> E</w:t>
            </w:r>
            <w:r w:rsidR="00AB63DB" w:rsidRPr="000A01D2">
              <w:rPr>
                <w:bCs/>
                <w:iCs/>
                <w:sz w:val="24"/>
                <w:szCs w:val="24"/>
              </w:rPr>
              <w:t xml:space="preserve">l Juzgado Segundo Laboral del Circuito de Pereira </w:t>
            </w:r>
            <w:r w:rsidRPr="000A01D2">
              <w:rPr>
                <w:bCs/>
                <w:iCs/>
                <w:sz w:val="24"/>
                <w:szCs w:val="24"/>
              </w:rPr>
              <w:t xml:space="preserve">ABSOLVIÓ </w:t>
            </w:r>
            <w:r w:rsidR="00AB63DB" w:rsidRPr="000A01D2">
              <w:rPr>
                <w:bCs/>
                <w:iCs/>
                <w:sz w:val="24"/>
                <w:szCs w:val="24"/>
              </w:rPr>
              <w:t xml:space="preserve">a las entidades demandadas de todas las pretensiones incoadas. </w:t>
            </w:r>
          </w:p>
          <w:p w14:paraId="0BF314C1" w14:textId="2F8CFE29" w:rsidR="00AB63DB" w:rsidRPr="000A01D2" w:rsidRDefault="002120BA" w:rsidP="000A01D2">
            <w:pPr>
              <w:spacing w:line="480" w:lineRule="auto"/>
              <w:rPr>
                <w:bCs/>
                <w:iCs/>
                <w:sz w:val="24"/>
                <w:szCs w:val="24"/>
              </w:rPr>
            </w:pPr>
            <w:r w:rsidRPr="000A01D2">
              <w:rPr>
                <w:b/>
                <w:bCs/>
                <w:iCs/>
                <w:sz w:val="24"/>
                <w:szCs w:val="24"/>
              </w:rPr>
              <w:t xml:space="preserve">Segunda Instancia: </w:t>
            </w:r>
            <w:r w:rsidRPr="000A01D2">
              <w:rPr>
                <w:bCs/>
                <w:iCs/>
                <w:sz w:val="24"/>
                <w:szCs w:val="24"/>
              </w:rPr>
              <w:t>El Tribunal Superior del Distrito Judicial de Pereira CONFIRMÓ en todas sus partes la de primer grado.</w:t>
            </w:r>
          </w:p>
        </w:tc>
      </w:tr>
      <w:tr w:rsidR="00AB63DB" w:rsidRPr="000A01D2" w14:paraId="38F4DEF9" w14:textId="77777777" w:rsidTr="00FD720D">
        <w:tc>
          <w:tcPr>
            <w:tcW w:w="0" w:type="auto"/>
            <w:shd w:val="clear" w:color="auto" w:fill="FFFFFF" w:themeFill="background1"/>
          </w:tcPr>
          <w:p w14:paraId="6A022EF5" w14:textId="77777777" w:rsidR="00AB63DB" w:rsidRPr="000A01D2" w:rsidRDefault="00AB63DB" w:rsidP="000A01D2">
            <w:pPr>
              <w:spacing w:line="480" w:lineRule="auto"/>
              <w:rPr>
                <w:b/>
                <w:sz w:val="24"/>
                <w:szCs w:val="24"/>
              </w:rPr>
            </w:pPr>
            <w:r w:rsidRPr="000A01D2">
              <w:rPr>
                <w:b/>
                <w:sz w:val="24"/>
                <w:szCs w:val="24"/>
              </w:rPr>
              <w:t>Recurso de casación</w:t>
            </w:r>
          </w:p>
        </w:tc>
        <w:tc>
          <w:tcPr>
            <w:tcW w:w="0" w:type="auto"/>
            <w:shd w:val="clear" w:color="auto" w:fill="FFFFFF" w:themeFill="background1"/>
          </w:tcPr>
          <w:p w14:paraId="041A7D0A" w14:textId="25DA6E59" w:rsidR="00AB63DB" w:rsidRPr="000A01D2" w:rsidRDefault="002120BA" w:rsidP="000A01D2">
            <w:pPr>
              <w:spacing w:line="480" w:lineRule="auto"/>
              <w:rPr>
                <w:bCs/>
                <w:iCs/>
                <w:sz w:val="24"/>
                <w:szCs w:val="24"/>
              </w:rPr>
            </w:pPr>
            <w:r w:rsidRPr="000A01D2">
              <w:rPr>
                <w:bCs/>
                <w:iCs/>
                <w:sz w:val="24"/>
                <w:szCs w:val="24"/>
              </w:rPr>
              <w:t xml:space="preserve">La censura se fundamenta </w:t>
            </w:r>
            <w:r w:rsidR="00AB63DB" w:rsidRPr="000A01D2">
              <w:rPr>
                <w:bCs/>
                <w:iCs/>
                <w:sz w:val="24"/>
                <w:szCs w:val="24"/>
              </w:rPr>
              <w:t xml:space="preserve">en los siguientes yerros fácticos: </w:t>
            </w:r>
          </w:p>
          <w:p w14:paraId="073B88A2" w14:textId="77777777" w:rsidR="00AB63DB" w:rsidRPr="000A01D2" w:rsidRDefault="00AB63DB" w:rsidP="000A01D2">
            <w:pPr>
              <w:spacing w:line="480" w:lineRule="auto"/>
              <w:rPr>
                <w:bCs/>
                <w:iCs/>
                <w:sz w:val="24"/>
                <w:szCs w:val="24"/>
              </w:rPr>
            </w:pPr>
            <w:r w:rsidRPr="000A01D2">
              <w:rPr>
                <w:bCs/>
                <w:iCs/>
                <w:sz w:val="24"/>
                <w:szCs w:val="24"/>
              </w:rPr>
              <w:t xml:space="preserve">“1.- No dar por demostrado, estándolo, que PROTECCIÓN S.A., engañó y asaltó en su buena fe al señor EDUARDO HUMBERTO SANZ GUTIÉRREZ para que se trasladara del Régimen de Prima Media administrado por el I.S.S., al </w:t>
            </w:r>
            <w:r w:rsidRPr="000A01D2">
              <w:rPr>
                <w:bCs/>
                <w:iCs/>
                <w:sz w:val="24"/>
                <w:szCs w:val="24"/>
              </w:rPr>
              <w:lastRenderedPageBreak/>
              <w:t xml:space="preserve">Régimen de Ahorro Individual al que pertenece dicha administradora”. </w:t>
            </w:r>
          </w:p>
          <w:p w14:paraId="11F55179" w14:textId="77777777" w:rsidR="00AB63DB" w:rsidRPr="000A01D2" w:rsidRDefault="00AB63DB" w:rsidP="000A01D2">
            <w:pPr>
              <w:spacing w:line="480" w:lineRule="auto"/>
              <w:rPr>
                <w:bCs/>
                <w:iCs/>
                <w:sz w:val="24"/>
                <w:szCs w:val="24"/>
              </w:rPr>
            </w:pPr>
            <w:r w:rsidRPr="000A01D2">
              <w:rPr>
                <w:bCs/>
                <w:iCs/>
                <w:sz w:val="24"/>
                <w:szCs w:val="24"/>
              </w:rPr>
              <w:t xml:space="preserve">“2.- No dar por demostrado, estándolo, que PROTECCIÓN S.A., mintió al demandante que lo pensionaría con antelación al cumplimiento de los 60 años de edad y en una cuantía superior a la que le podía reconocer el I.S.S”. </w:t>
            </w:r>
          </w:p>
          <w:p w14:paraId="0B433F4A" w14:textId="1AB3FC11" w:rsidR="00AB63DB" w:rsidRPr="000A01D2" w:rsidRDefault="00AB63DB" w:rsidP="000A01D2">
            <w:pPr>
              <w:spacing w:line="480" w:lineRule="auto"/>
              <w:rPr>
                <w:bCs/>
                <w:iCs/>
                <w:sz w:val="24"/>
                <w:szCs w:val="24"/>
              </w:rPr>
            </w:pPr>
            <w:r w:rsidRPr="000A01D2">
              <w:rPr>
                <w:bCs/>
                <w:iCs/>
                <w:sz w:val="24"/>
                <w:szCs w:val="24"/>
              </w:rPr>
              <w:t xml:space="preserve">“3.- Dar por demostrado, sin ser ello cierto, que el traslado del señor SANZ GUTIÉRREZ al RAIS fue de manera libre, espontánea </w:t>
            </w:r>
            <w:r w:rsidR="000E31D8" w:rsidRPr="000A01D2">
              <w:rPr>
                <w:bCs/>
                <w:iCs/>
                <w:sz w:val="24"/>
                <w:szCs w:val="24"/>
              </w:rPr>
              <w:t>y voluntaria, aduciendo además</w:t>
            </w:r>
            <w:r w:rsidRPr="000A01D2">
              <w:rPr>
                <w:bCs/>
                <w:iCs/>
                <w:sz w:val="24"/>
                <w:szCs w:val="24"/>
              </w:rPr>
              <w:t xml:space="preserve"> de manera ligera, que no existe prueba alguna de haber sido engañado. </w:t>
            </w:r>
          </w:p>
          <w:p w14:paraId="055C1741" w14:textId="5F512FD5" w:rsidR="00AB63DB" w:rsidRPr="000A01D2" w:rsidRDefault="00AB63DB" w:rsidP="000A01D2">
            <w:pPr>
              <w:spacing w:line="480" w:lineRule="auto"/>
              <w:rPr>
                <w:bCs/>
                <w:iCs/>
                <w:sz w:val="24"/>
                <w:szCs w:val="24"/>
              </w:rPr>
            </w:pPr>
            <w:r w:rsidRPr="000A01D2">
              <w:rPr>
                <w:bCs/>
                <w:iCs/>
                <w:sz w:val="24"/>
                <w:szCs w:val="24"/>
              </w:rPr>
              <w:t xml:space="preserve">“4.- No dar por demostrado, estándolo, que con la demanda que dio origen al proceso, el señor EDUARDO HUMBERTO SANZ GUTIÉRREZ si solicitó la nulidad de la </w:t>
            </w:r>
            <w:r w:rsidR="002120BA" w:rsidRPr="000A01D2">
              <w:rPr>
                <w:bCs/>
                <w:iCs/>
                <w:sz w:val="24"/>
                <w:szCs w:val="24"/>
              </w:rPr>
              <w:t>afiliación a PROTECCI</w:t>
            </w:r>
            <w:r w:rsidR="00CC7181">
              <w:rPr>
                <w:bCs/>
                <w:iCs/>
                <w:sz w:val="24"/>
                <w:szCs w:val="24"/>
              </w:rPr>
              <w:t>Ó</w:t>
            </w:r>
            <w:r w:rsidR="002120BA" w:rsidRPr="000A01D2">
              <w:rPr>
                <w:bCs/>
                <w:iCs/>
                <w:sz w:val="24"/>
                <w:szCs w:val="24"/>
              </w:rPr>
              <w:t xml:space="preserve">N S.A”. </w:t>
            </w:r>
          </w:p>
        </w:tc>
      </w:tr>
      <w:tr w:rsidR="00AB63DB" w:rsidRPr="000A01D2" w14:paraId="3C7B2326" w14:textId="77777777" w:rsidTr="00FD720D">
        <w:tc>
          <w:tcPr>
            <w:tcW w:w="0" w:type="auto"/>
            <w:shd w:val="clear" w:color="auto" w:fill="FFFFFF" w:themeFill="background1"/>
            <w:hideMark/>
          </w:tcPr>
          <w:p w14:paraId="251ABF70" w14:textId="05E3D4D5" w:rsidR="00AB63DB" w:rsidRPr="000A01D2" w:rsidRDefault="00703B7E" w:rsidP="000A01D2">
            <w:pPr>
              <w:spacing w:line="480" w:lineRule="auto"/>
              <w:rPr>
                <w:b/>
                <w:sz w:val="24"/>
                <w:szCs w:val="24"/>
              </w:rPr>
            </w:pPr>
            <w:r w:rsidRPr="000A01D2">
              <w:rPr>
                <w:b/>
                <w:sz w:val="24"/>
                <w:szCs w:val="24"/>
              </w:rPr>
              <w:lastRenderedPageBreak/>
              <w:t>Decisión en casación</w:t>
            </w:r>
          </w:p>
        </w:tc>
        <w:tc>
          <w:tcPr>
            <w:tcW w:w="0" w:type="auto"/>
            <w:shd w:val="clear" w:color="auto" w:fill="FFFFFF" w:themeFill="background1"/>
          </w:tcPr>
          <w:p w14:paraId="0E2F0262" w14:textId="3486E80F" w:rsidR="00AB63DB" w:rsidRPr="000A01D2" w:rsidRDefault="002120BA" w:rsidP="000A01D2">
            <w:pPr>
              <w:spacing w:line="480" w:lineRule="auto"/>
              <w:rPr>
                <w:b/>
                <w:bCs/>
                <w:iCs/>
                <w:sz w:val="24"/>
                <w:szCs w:val="24"/>
              </w:rPr>
            </w:pPr>
            <w:r w:rsidRPr="000A01D2">
              <w:rPr>
                <w:bCs/>
                <w:iCs/>
                <w:sz w:val="24"/>
                <w:szCs w:val="24"/>
              </w:rPr>
              <w:t xml:space="preserve">CASA la sentencia proferida por el Tribunal Superior del Distrito Judicial de Pereira y REVOCA la del juez de primer grado, para en su lugar: DECLARAR la nulidad del traslado que el demandante hizo del Instituto de Seguros Sociales a la Administradora de Fondos de Pensiones y Cesantías Protección S.A., quien por virtud del regreso automático al régimen de prima con prestación definida del ISS., deberá devolver a ésta todos los valores y rendimiento que hubiere recibido con motivo de la afiliación del actor; y CONDENAR al Instituto de </w:t>
            </w:r>
            <w:r w:rsidRPr="000A01D2">
              <w:rPr>
                <w:bCs/>
                <w:iCs/>
                <w:sz w:val="24"/>
                <w:szCs w:val="24"/>
              </w:rPr>
              <w:lastRenderedPageBreak/>
              <w:t>Seguros Sociales a reconocer al actor la pensión de vejez.</w:t>
            </w:r>
          </w:p>
        </w:tc>
      </w:tr>
      <w:tr w:rsidR="00703B7E" w:rsidRPr="000A01D2" w14:paraId="0DC859E2" w14:textId="77777777" w:rsidTr="00FD720D">
        <w:tc>
          <w:tcPr>
            <w:tcW w:w="0" w:type="auto"/>
            <w:tcBorders>
              <w:bottom w:val="single" w:sz="4" w:space="0" w:color="auto"/>
            </w:tcBorders>
            <w:shd w:val="clear" w:color="auto" w:fill="FFFFFF" w:themeFill="background1"/>
          </w:tcPr>
          <w:p w14:paraId="67356F6B" w14:textId="0965589F" w:rsidR="00703B7E" w:rsidRPr="000A01D2" w:rsidRDefault="00703B7E" w:rsidP="000A01D2">
            <w:pPr>
              <w:spacing w:line="480" w:lineRule="auto"/>
              <w:rPr>
                <w:b/>
                <w:sz w:val="24"/>
                <w:szCs w:val="24"/>
              </w:rPr>
            </w:pPr>
            <w:r w:rsidRPr="000A01D2">
              <w:rPr>
                <w:b/>
                <w:sz w:val="24"/>
                <w:szCs w:val="24"/>
              </w:rPr>
              <w:lastRenderedPageBreak/>
              <w:t>Problema jurídico</w:t>
            </w:r>
          </w:p>
        </w:tc>
        <w:tc>
          <w:tcPr>
            <w:tcW w:w="0" w:type="auto"/>
            <w:tcBorders>
              <w:bottom w:val="single" w:sz="4" w:space="0" w:color="auto"/>
            </w:tcBorders>
            <w:shd w:val="clear" w:color="auto" w:fill="FFFFFF" w:themeFill="background1"/>
          </w:tcPr>
          <w:p w14:paraId="0800479F" w14:textId="3E7A8C0C" w:rsidR="00703B7E" w:rsidRPr="000A01D2" w:rsidRDefault="00703B7E" w:rsidP="000A01D2">
            <w:pPr>
              <w:spacing w:line="480" w:lineRule="auto"/>
              <w:rPr>
                <w:sz w:val="24"/>
                <w:szCs w:val="24"/>
              </w:rPr>
            </w:pPr>
            <w:r w:rsidRPr="000A01D2">
              <w:rPr>
                <w:sz w:val="24"/>
                <w:szCs w:val="24"/>
              </w:rPr>
              <w:t>Dilucidar si hubo o no engaño por parte del promotor de la AFP y si como consecuencia de esto se incurrió en la omisión por parte de la AFP de aportarle al afiliado toda la información.</w:t>
            </w:r>
          </w:p>
        </w:tc>
      </w:tr>
      <w:tr w:rsidR="00AB63DB" w:rsidRPr="000A01D2" w14:paraId="6A3C4536" w14:textId="77777777" w:rsidTr="00FD720D">
        <w:tc>
          <w:tcPr>
            <w:tcW w:w="0" w:type="auto"/>
            <w:tcBorders>
              <w:top w:val="single" w:sz="4" w:space="0" w:color="auto"/>
              <w:bottom w:val="single" w:sz="4" w:space="0" w:color="auto"/>
            </w:tcBorders>
            <w:shd w:val="clear" w:color="auto" w:fill="FFFFFF" w:themeFill="background1"/>
          </w:tcPr>
          <w:p w14:paraId="5B002F76" w14:textId="77777777" w:rsidR="00AB63DB" w:rsidRPr="000A01D2" w:rsidRDefault="00AB63DB" w:rsidP="000A01D2">
            <w:pPr>
              <w:spacing w:line="480" w:lineRule="auto"/>
              <w:rPr>
                <w:b/>
                <w:sz w:val="24"/>
                <w:szCs w:val="24"/>
              </w:rPr>
            </w:pPr>
            <w:r w:rsidRPr="000A01D2">
              <w:rPr>
                <w:b/>
                <w:sz w:val="24"/>
                <w:szCs w:val="24"/>
              </w:rPr>
              <w:t xml:space="preserve">Consideraciones </w:t>
            </w:r>
          </w:p>
        </w:tc>
        <w:tc>
          <w:tcPr>
            <w:tcW w:w="0" w:type="auto"/>
            <w:tcBorders>
              <w:top w:val="single" w:sz="4" w:space="0" w:color="auto"/>
              <w:bottom w:val="single" w:sz="4" w:space="0" w:color="auto"/>
            </w:tcBorders>
            <w:shd w:val="clear" w:color="auto" w:fill="FFFFFF" w:themeFill="background1"/>
          </w:tcPr>
          <w:p w14:paraId="186DEBB6" w14:textId="0F9C2634" w:rsidR="00AB63DB" w:rsidRPr="000A01D2" w:rsidRDefault="00AB63DB" w:rsidP="000A01D2">
            <w:pPr>
              <w:spacing w:line="480" w:lineRule="auto"/>
              <w:rPr>
                <w:sz w:val="24"/>
                <w:szCs w:val="24"/>
              </w:rPr>
            </w:pPr>
            <w:r w:rsidRPr="000A01D2">
              <w:rPr>
                <w:sz w:val="24"/>
                <w:szCs w:val="24"/>
              </w:rPr>
              <w:t xml:space="preserve">Precisamente, </w:t>
            </w:r>
            <w:r w:rsidR="00703B7E" w:rsidRPr="000A01D2">
              <w:rPr>
                <w:sz w:val="24"/>
                <w:szCs w:val="24"/>
              </w:rPr>
              <w:t xml:space="preserve">al referirse a </w:t>
            </w:r>
            <w:r w:rsidRPr="000A01D2">
              <w:rPr>
                <w:sz w:val="24"/>
                <w:szCs w:val="24"/>
              </w:rPr>
              <w:t xml:space="preserve">la </w:t>
            </w:r>
            <w:r w:rsidR="00703B7E" w:rsidRPr="000A01D2">
              <w:rPr>
                <w:sz w:val="24"/>
                <w:szCs w:val="24"/>
              </w:rPr>
              <w:t>obligación</w:t>
            </w:r>
            <w:r w:rsidRPr="000A01D2">
              <w:rPr>
                <w:sz w:val="24"/>
                <w:szCs w:val="24"/>
              </w:rPr>
              <w:t xml:space="preserve"> que tienen los Fondos de Pensiones de proporcionar a los afiliados una </w:t>
            </w:r>
            <w:r w:rsidR="00703B7E" w:rsidRPr="000A01D2">
              <w:rPr>
                <w:sz w:val="24"/>
                <w:szCs w:val="24"/>
              </w:rPr>
              <w:t>información</w:t>
            </w:r>
            <w:r w:rsidRPr="000A01D2">
              <w:rPr>
                <w:sz w:val="24"/>
                <w:szCs w:val="24"/>
              </w:rPr>
              <w:t xml:space="preserve"> completa,</w:t>
            </w:r>
            <w:r w:rsidR="00703B7E" w:rsidRPr="000A01D2">
              <w:rPr>
                <w:sz w:val="24"/>
                <w:szCs w:val="24"/>
              </w:rPr>
              <w:t xml:space="preserve"> de conformidad con las S</w:t>
            </w:r>
            <w:r w:rsidRPr="000A01D2">
              <w:rPr>
                <w:sz w:val="24"/>
                <w:szCs w:val="24"/>
              </w:rPr>
              <w:t>entenci</w:t>
            </w:r>
            <w:r w:rsidR="00D90E9A" w:rsidRPr="000A01D2">
              <w:rPr>
                <w:sz w:val="24"/>
                <w:szCs w:val="24"/>
              </w:rPr>
              <w:t xml:space="preserve">as del 9 de septiembre de 2008 </w:t>
            </w:r>
            <w:r w:rsidRPr="000A01D2">
              <w:rPr>
                <w:sz w:val="24"/>
                <w:szCs w:val="24"/>
              </w:rPr>
              <w:t xml:space="preserve">radicaciones 31989 y 31314, </w:t>
            </w:r>
            <w:r w:rsidR="00703B7E" w:rsidRPr="000A01D2">
              <w:rPr>
                <w:sz w:val="24"/>
                <w:szCs w:val="24"/>
              </w:rPr>
              <w:t xml:space="preserve">dice que </w:t>
            </w:r>
            <w:r w:rsidRPr="000A01D2">
              <w:rPr>
                <w:sz w:val="24"/>
                <w:szCs w:val="24"/>
              </w:rPr>
              <w:t xml:space="preserve"> la administradora </w:t>
            </w:r>
            <w:r w:rsidR="00703B7E" w:rsidRPr="000A01D2">
              <w:rPr>
                <w:sz w:val="24"/>
                <w:szCs w:val="24"/>
              </w:rPr>
              <w:t xml:space="preserve">falta </w:t>
            </w:r>
            <w:r w:rsidRPr="000A01D2">
              <w:rPr>
                <w:sz w:val="24"/>
                <w:szCs w:val="24"/>
              </w:rPr>
              <w:t xml:space="preserve">a su deber de proporcionar una </w:t>
            </w:r>
            <w:r w:rsidR="00703B7E" w:rsidRPr="000A01D2">
              <w:rPr>
                <w:sz w:val="24"/>
                <w:szCs w:val="24"/>
              </w:rPr>
              <w:t>información</w:t>
            </w:r>
            <w:r w:rsidRPr="000A01D2">
              <w:rPr>
                <w:sz w:val="24"/>
                <w:szCs w:val="24"/>
              </w:rPr>
              <w:t xml:space="preserve"> completa, pues se incumple de manera grave si se plantea el valor de una eventual pensión a los sesenta años, sin advertir, que se trataba de una persona que ya tenía el derecho</w:t>
            </w:r>
            <w:r w:rsidR="00D90E9A" w:rsidRPr="000A01D2">
              <w:rPr>
                <w:sz w:val="24"/>
                <w:szCs w:val="24"/>
              </w:rPr>
              <w:t xml:space="preserve"> causado a los 55 </w:t>
            </w:r>
            <w:r w:rsidR="00703B7E" w:rsidRPr="000A01D2">
              <w:rPr>
                <w:sz w:val="24"/>
                <w:szCs w:val="24"/>
              </w:rPr>
              <w:t>años</w:t>
            </w:r>
            <w:r w:rsidR="00D90E9A" w:rsidRPr="000A01D2">
              <w:rPr>
                <w:sz w:val="24"/>
                <w:szCs w:val="24"/>
              </w:rPr>
              <w:t xml:space="preserve"> de edad</w:t>
            </w:r>
            <w:r w:rsidR="00703B7E" w:rsidRPr="000A01D2">
              <w:rPr>
                <w:sz w:val="24"/>
                <w:szCs w:val="24"/>
              </w:rPr>
              <w:t>. Además,</w:t>
            </w:r>
            <w:r w:rsidRPr="000A01D2">
              <w:rPr>
                <w:sz w:val="24"/>
                <w:szCs w:val="24"/>
              </w:rPr>
              <w:t xml:space="preserve"> la posibilidad de tener una pensión en el fon</w:t>
            </w:r>
            <w:r w:rsidR="00703B7E" w:rsidRPr="000A01D2">
              <w:rPr>
                <w:sz w:val="24"/>
                <w:szCs w:val="24"/>
              </w:rPr>
              <w:t>do privado a los 60 años debe ser descartada de entrada, ya que el</w:t>
            </w:r>
            <w:r w:rsidRPr="000A01D2">
              <w:rPr>
                <w:sz w:val="24"/>
                <w:szCs w:val="24"/>
              </w:rPr>
              <w:t xml:space="preserve"> capital para gozar</w:t>
            </w:r>
            <w:r w:rsidR="00703B7E" w:rsidRPr="000A01D2">
              <w:rPr>
                <w:sz w:val="24"/>
                <w:szCs w:val="24"/>
              </w:rPr>
              <w:t xml:space="preserve"> de</w:t>
            </w:r>
            <w:r w:rsidRPr="000A01D2">
              <w:rPr>
                <w:sz w:val="24"/>
                <w:szCs w:val="24"/>
              </w:rPr>
              <w:t xml:space="preserve"> la </w:t>
            </w:r>
            <w:r w:rsidR="00703B7E" w:rsidRPr="000A01D2">
              <w:rPr>
                <w:sz w:val="24"/>
                <w:szCs w:val="24"/>
              </w:rPr>
              <w:t xml:space="preserve">pensión </w:t>
            </w:r>
            <w:r w:rsidRPr="000A01D2">
              <w:rPr>
                <w:sz w:val="24"/>
                <w:szCs w:val="24"/>
              </w:rPr>
              <w:t xml:space="preserve">era el de un bono pensional redimible a los </w:t>
            </w:r>
            <w:r w:rsidR="00703B7E" w:rsidRPr="000A01D2">
              <w:rPr>
                <w:sz w:val="24"/>
                <w:szCs w:val="24"/>
              </w:rPr>
              <w:t>62 años.</w:t>
            </w:r>
          </w:p>
          <w:p w14:paraId="4BF872D1" w14:textId="1BEE0531" w:rsidR="00AB63DB" w:rsidRPr="000A01D2" w:rsidRDefault="00703B7E" w:rsidP="000A01D2">
            <w:pPr>
              <w:spacing w:line="480" w:lineRule="auto"/>
              <w:rPr>
                <w:sz w:val="24"/>
                <w:szCs w:val="24"/>
              </w:rPr>
            </w:pPr>
            <w:r w:rsidRPr="000A01D2">
              <w:rPr>
                <w:sz w:val="24"/>
                <w:szCs w:val="24"/>
              </w:rPr>
              <w:t>Por otro lado, e</w:t>
            </w:r>
            <w:r w:rsidR="00AB63DB" w:rsidRPr="000A01D2">
              <w:rPr>
                <w:sz w:val="24"/>
                <w:szCs w:val="24"/>
              </w:rPr>
              <w:t xml:space="preserve">n la oferta se le hizo al actor una comparación pura y simple entre una pensión de prima media y una de ahorro individual, sin advertir que el mayor </w:t>
            </w:r>
            <w:r w:rsidR="00AB63DB" w:rsidRPr="000A01D2">
              <w:rPr>
                <w:rFonts w:eastAsia="Times New Roman"/>
                <w:sz w:val="24"/>
                <w:szCs w:val="24"/>
              </w:rPr>
              <w:t xml:space="preserve"> </w:t>
            </w:r>
            <w:r w:rsidR="00AB63DB" w:rsidRPr="000A01D2">
              <w:rPr>
                <w:sz w:val="24"/>
                <w:szCs w:val="24"/>
              </w:rPr>
              <w:t xml:space="preserve">valor pensional que ofrecía el fondo privado era bajo la modalidad del retiro programado con un monto posible y que en </w:t>
            </w:r>
            <w:r w:rsidR="00204F7C" w:rsidRPr="000A01D2">
              <w:rPr>
                <w:sz w:val="24"/>
                <w:szCs w:val="24"/>
              </w:rPr>
              <w:t>ningún</w:t>
            </w:r>
            <w:r w:rsidR="00AB63DB" w:rsidRPr="000A01D2">
              <w:rPr>
                <w:sz w:val="24"/>
                <w:szCs w:val="24"/>
              </w:rPr>
              <w:t xml:space="preserve"> caso </w:t>
            </w:r>
            <w:r w:rsidR="00204F7C" w:rsidRPr="000A01D2">
              <w:rPr>
                <w:sz w:val="24"/>
                <w:szCs w:val="24"/>
              </w:rPr>
              <w:t>sería</w:t>
            </w:r>
            <w:r w:rsidR="00AB63DB" w:rsidRPr="000A01D2">
              <w:rPr>
                <w:sz w:val="24"/>
                <w:szCs w:val="24"/>
              </w:rPr>
              <w:t xml:space="preserve"> definitivo</w:t>
            </w:r>
            <w:r w:rsidR="00204F7C" w:rsidRPr="000A01D2">
              <w:rPr>
                <w:sz w:val="24"/>
                <w:szCs w:val="24"/>
              </w:rPr>
              <w:t>.</w:t>
            </w:r>
          </w:p>
          <w:p w14:paraId="4C68C505" w14:textId="48A4F07F" w:rsidR="00AB63DB" w:rsidRPr="000A01D2" w:rsidRDefault="00204F7C" w:rsidP="000A01D2">
            <w:pPr>
              <w:spacing w:line="480" w:lineRule="auto"/>
              <w:rPr>
                <w:bCs/>
                <w:sz w:val="24"/>
                <w:szCs w:val="24"/>
              </w:rPr>
            </w:pPr>
            <w:r w:rsidRPr="000A01D2">
              <w:rPr>
                <w:sz w:val="24"/>
                <w:szCs w:val="24"/>
              </w:rPr>
              <w:t>Se evidencia que la</w:t>
            </w:r>
            <w:r w:rsidR="00AB63DB" w:rsidRPr="000A01D2">
              <w:rPr>
                <w:sz w:val="24"/>
                <w:szCs w:val="24"/>
              </w:rPr>
              <w:t xml:space="preserve"> </w:t>
            </w:r>
            <w:r w:rsidRPr="000A01D2">
              <w:rPr>
                <w:sz w:val="24"/>
                <w:szCs w:val="24"/>
              </w:rPr>
              <w:t>información</w:t>
            </w:r>
            <w:r w:rsidR="00AB63DB" w:rsidRPr="000A01D2">
              <w:rPr>
                <w:sz w:val="24"/>
                <w:szCs w:val="24"/>
              </w:rPr>
              <w:t xml:space="preserve"> fue parcial </w:t>
            </w:r>
            <w:r w:rsidRPr="000A01D2">
              <w:rPr>
                <w:sz w:val="24"/>
                <w:szCs w:val="24"/>
              </w:rPr>
              <w:t>y esto influyó en</w:t>
            </w:r>
            <w:r w:rsidR="00AB63DB" w:rsidRPr="000A01D2">
              <w:rPr>
                <w:sz w:val="24"/>
                <w:szCs w:val="24"/>
              </w:rPr>
              <w:t xml:space="preserve"> la </w:t>
            </w:r>
            <w:r w:rsidRPr="000A01D2">
              <w:rPr>
                <w:sz w:val="24"/>
                <w:szCs w:val="24"/>
              </w:rPr>
              <w:lastRenderedPageBreak/>
              <w:t>decisión</w:t>
            </w:r>
            <w:r w:rsidR="00AB63DB" w:rsidRPr="000A01D2">
              <w:rPr>
                <w:sz w:val="24"/>
                <w:szCs w:val="24"/>
              </w:rPr>
              <w:t xml:space="preserve"> </w:t>
            </w:r>
            <w:r w:rsidRPr="000A01D2">
              <w:rPr>
                <w:sz w:val="24"/>
                <w:szCs w:val="24"/>
              </w:rPr>
              <w:t>de</w:t>
            </w:r>
            <w:r w:rsidR="00AB63DB" w:rsidRPr="000A01D2">
              <w:rPr>
                <w:sz w:val="24"/>
                <w:szCs w:val="24"/>
              </w:rPr>
              <w:t xml:space="preserve"> </w:t>
            </w:r>
            <w:r w:rsidRPr="000A01D2">
              <w:rPr>
                <w:sz w:val="24"/>
                <w:szCs w:val="24"/>
              </w:rPr>
              <w:t>optar por cambio de régimen.</w:t>
            </w:r>
            <w:r w:rsidR="00106EBA" w:rsidRPr="000A01D2">
              <w:rPr>
                <w:sz w:val="24"/>
                <w:szCs w:val="24"/>
              </w:rPr>
              <w:t xml:space="preserve"> Se reitera que l</w:t>
            </w:r>
            <w:r w:rsidR="00AB63DB" w:rsidRPr="000A01D2">
              <w:rPr>
                <w:bCs/>
                <w:sz w:val="24"/>
                <w:szCs w:val="24"/>
              </w:rPr>
              <w:t xml:space="preserve">a </w:t>
            </w:r>
            <w:r w:rsidR="00106EBA" w:rsidRPr="000A01D2">
              <w:rPr>
                <w:bCs/>
                <w:sz w:val="24"/>
                <w:szCs w:val="24"/>
              </w:rPr>
              <w:t>información</w:t>
            </w:r>
            <w:r w:rsidR="00AB63DB" w:rsidRPr="000A01D2">
              <w:rPr>
                <w:bCs/>
                <w:sz w:val="24"/>
                <w:szCs w:val="24"/>
              </w:rPr>
              <w:t xml:space="preserve"> debe comprender todas las etapas del proceso</w:t>
            </w:r>
            <w:r w:rsidR="00106EBA" w:rsidRPr="000A01D2">
              <w:rPr>
                <w:bCs/>
                <w:sz w:val="24"/>
                <w:szCs w:val="24"/>
              </w:rPr>
              <w:t xml:space="preserve"> de afiliación, además de que esta debe ser </w:t>
            </w:r>
            <w:r w:rsidR="00AB63DB" w:rsidRPr="000A01D2">
              <w:rPr>
                <w:bCs/>
                <w:sz w:val="24"/>
                <w:szCs w:val="24"/>
              </w:rPr>
              <w:t xml:space="preserve">completa y comprensible, a la medida de la </w:t>
            </w:r>
            <w:r w:rsidR="00106EBA" w:rsidRPr="000A01D2">
              <w:rPr>
                <w:bCs/>
                <w:sz w:val="24"/>
                <w:szCs w:val="24"/>
              </w:rPr>
              <w:t>asimetría.</w:t>
            </w:r>
          </w:p>
          <w:p w14:paraId="60A63CA8" w14:textId="374E08E2" w:rsidR="00AB63DB" w:rsidRPr="000A01D2" w:rsidRDefault="004620ED" w:rsidP="000A01D2">
            <w:pPr>
              <w:spacing w:line="480" w:lineRule="auto"/>
              <w:rPr>
                <w:sz w:val="24"/>
                <w:szCs w:val="24"/>
              </w:rPr>
            </w:pPr>
            <w:r w:rsidRPr="000A01D2">
              <w:rPr>
                <w:bCs/>
                <w:sz w:val="24"/>
                <w:szCs w:val="24"/>
              </w:rPr>
              <w:t>Así mismo, se hace insistencia nuevamente en que</w:t>
            </w:r>
            <w:r w:rsidR="00AB63DB" w:rsidRPr="000A01D2">
              <w:rPr>
                <w:sz w:val="24"/>
                <w:szCs w:val="24"/>
              </w:rPr>
              <w:t xml:space="preserve"> la diligencia debida</w:t>
            </w:r>
            <w:r w:rsidRPr="000A01D2">
              <w:rPr>
                <w:sz w:val="24"/>
                <w:szCs w:val="24"/>
              </w:rPr>
              <w:t xml:space="preserve"> por parte de la AFP,</w:t>
            </w:r>
            <w:r w:rsidR="00AB63DB" w:rsidRPr="000A01D2">
              <w:rPr>
                <w:sz w:val="24"/>
                <w:szCs w:val="24"/>
              </w:rPr>
              <w:t xml:space="preserve"> se traduce en un </w:t>
            </w:r>
            <w:r w:rsidR="00AB63DB" w:rsidRPr="000A01D2">
              <w:rPr>
                <w:b/>
                <w:sz w:val="24"/>
                <w:szCs w:val="24"/>
              </w:rPr>
              <w:t>traslado de la carga de la prueba</w:t>
            </w:r>
            <w:r w:rsidR="00AB63DB" w:rsidRPr="000A01D2">
              <w:rPr>
                <w:sz w:val="24"/>
                <w:szCs w:val="24"/>
              </w:rPr>
              <w:t xml:space="preserve"> del actor a la entid</w:t>
            </w:r>
            <w:r w:rsidR="00D90E9A" w:rsidRPr="000A01D2">
              <w:rPr>
                <w:sz w:val="24"/>
                <w:szCs w:val="24"/>
              </w:rPr>
              <w:t>ad demandada</w:t>
            </w:r>
            <w:r w:rsidRPr="000A01D2">
              <w:rPr>
                <w:sz w:val="24"/>
                <w:szCs w:val="24"/>
              </w:rPr>
              <w:t>.</w:t>
            </w:r>
          </w:p>
          <w:p w14:paraId="11C268D4" w14:textId="2D5A97AA" w:rsidR="00AB63DB" w:rsidRPr="000A01D2" w:rsidRDefault="004620ED" w:rsidP="000A01D2">
            <w:pPr>
              <w:spacing w:line="480" w:lineRule="auto"/>
              <w:rPr>
                <w:sz w:val="24"/>
                <w:szCs w:val="24"/>
              </w:rPr>
            </w:pPr>
            <w:r w:rsidRPr="000A01D2">
              <w:rPr>
                <w:bCs/>
                <w:sz w:val="24"/>
                <w:szCs w:val="24"/>
              </w:rPr>
              <w:t>Entonces, se puede concluir que, a pesar de que el formulario de traslado menciona que esta “</w:t>
            </w:r>
            <w:r w:rsidR="00AB63DB" w:rsidRPr="000A01D2">
              <w:rPr>
                <w:sz w:val="24"/>
                <w:szCs w:val="24"/>
              </w:rPr>
              <w:t xml:space="preserve">se </w:t>
            </w:r>
            <w:r w:rsidRPr="000A01D2">
              <w:rPr>
                <w:sz w:val="24"/>
                <w:szCs w:val="24"/>
              </w:rPr>
              <w:t>realizó</w:t>
            </w:r>
            <w:r w:rsidR="00AB63DB" w:rsidRPr="000A01D2">
              <w:rPr>
                <w:sz w:val="24"/>
                <w:szCs w:val="24"/>
              </w:rPr>
              <w:t xml:space="preserve">́ de forma libre, espontánea y sin presiones”, la falta de información veraz y suficiente, </w:t>
            </w:r>
            <w:r w:rsidRPr="000A01D2">
              <w:rPr>
                <w:sz w:val="24"/>
                <w:szCs w:val="24"/>
              </w:rPr>
              <w:t>vicia tal decisión.</w:t>
            </w:r>
            <w:r w:rsidR="00AB63DB" w:rsidRPr="000A01D2">
              <w:rPr>
                <w:sz w:val="24"/>
                <w:szCs w:val="24"/>
              </w:rPr>
              <w:t xml:space="preserve"> </w:t>
            </w:r>
          </w:p>
        </w:tc>
      </w:tr>
    </w:tbl>
    <w:p w14:paraId="68A1210B" w14:textId="77777777" w:rsidR="001D4A42" w:rsidRDefault="001D4A42" w:rsidP="000A01D2">
      <w:pPr>
        <w:spacing w:line="480" w:lineRule="auto"/>
        <w:rPr>
          <w:b/>
          <w:lang w:val="es-ES"/>
        </w:rPr>
      </w:pPr>
    </w:p>
    <w:p w14:paraId="47A979EF" w14:textId="77777777" w:rsidR="00A8717D" w:rsidRPr="000A01D2" w:rsidRDefault="00A8717D" w:rsidP="000A01D2">
      <w:pPr>
        <w:spacing w:line="480" w:lineRule="auto"/>
        <w:rPr>
          <w:b/>
          <w:lang w:val="es-ES"/>
        </w:rPr>
      </w:pPr>
    </w:p>
    <w:tbl>
      <w:tblPr>
        <w:tblStyle w:val="Tablaconcuadrcula"/>
        <w:tblpPr w:leftFromText="141" w:rightFromText="141" w:vertAnchor="text" w:horzAnchor="margin" w:tblpXSpec="center" w:tblpY="67"/>
        <w:tblW w:w="0" w:type="auto"/>
        <w:tblBorders>
          <w:top w:val="none" w:sz="0" w:space="0" w:color="auto"/>
          <w:left w:val="none" w:sz="0" w:space="0" w:color="auto"/>
          <w:bottom w:val="none" w:sz="0" w:space="0" w:color="auto"/>
          <w:right w:val="none" w:sz="0" w:space="0" w:color="auto"/>
          <w:insideV w:val="none" w:sz="0" w:space="0" w:color="auto"/>
        </w:tblBorders>
        <w:shd w:val="clear" w:color="auto" w:fill="FFFFFF" w:themeFill="background1"/>
        <w:tblLook w:val="04A0" w:firstRow="1" w:lastRow="0" w:firstColumn="1" w:lastColumn="0" w:noHBand="0" w:noVBand="1"/>
      </w:tblPr>
      <w:tblGrid>
        <w:gridCol w:w="2136"/>
        <w:gridCol w:w="6350"/>
      </w:tblGrid>
      <w:tr w:rsidR="00932CDB" w:rsidRPr="000A01D2" w14:paraId="5E164CFA" w14:textId="77777777" w:rsidTr="00FD720D">
        <w:trPr>
          <w:trHeight w:val="841"/>
        </w:trPr>
        <w:tc>
          <w:tcPr>
            <w:tcW w:w="0" w:type="auto"/>
            <w:gridSpan w:val="2"/>
            <w:shd w:val="clear" w:color="auto" w:fill="FFFFFF" w:themeFill="background1"/>
          </w:tcPr>
          <w:p w14:paraId="75048033" w14:textId="48B707EB" w:rsidR="00932CDB" w:rsidRPr="000A01D2" w:rsidRDefault="00932CDB" w:rsidP="000A01D2">
            <w:pPr>
              <w:spacing w:line="480" w:lineRule="auto"/>
              <w:rPr>
                <w:sz w:val="24"/>
                <w:szCs w:val="24"/>
              </w:rPr>
            </w:pPr>
            <w:r w:rsidRPr="000A01D2">
              <w:rPr>
                <w:sz w:val="24"/>
                <w:szCs w:val="24"/>
              </w:rPr>
              <w:t>Tabla 4</w:t>
            </w:r>
          </w:p>
          <w:p w14:paraId="61CBAF70" w14:textId="30B7AD4C" w:rsidR="00932CDB" w:rsidRPr="000A01D2" w:rsidRDefault="00932CDB" w:rsidP="000A01D2">
            <w:pPr>
              <w:spacing w:line="480" w:lineRule="auto"/>
              <w:rPr>
                <w:i/>
                <w:sz w:val="24"/>
                <w:szCs w:val="24"/>
              </w:rPr>
            </w:pPr>
            <w:r w:rsidRPr="000A01D2">
              <w:rPr>
                <w:i/>
                <w:sz w:val="24"/>
                <w:szCs w:val="24"/>
              </w:rPr>
              <w:t>Sentencia SL1452-2019</w:t>
            </w:r>
          </w:p>
        </w:tc>
      </w:tr>
      <w:tr w:rsidR="00AB63DB" w:rsidRPr="000A01D2" w14:paraId="47A5084C" w14:textId="77777777" w:rsidTr="00FD720D">
        <w:trPr>
          <w:trHeight w:val="841"/>
        </w:trPr>
        <w:tc>
          <w:tcPr>
            <w:tcW w:w="0" w:type="auto"/>
            <w:shd w:val="clear" w:color="auto" w:fill="FFFFFF" w:themeFill="background1"/>
            <w:hideMark/>
          </w:tcPr>
          <w:p w14:paraId="59CCA7E3" w14:textId="77777777" w:rsidR="00AB63DB" w:rsidRPr="000A01D2" w:rsidRDefault="00AB63DB" w:rsidP="000A01D2">
            <w:pPr>
              <w:spacing w:line="480" w:lineRule="auto"/>
              <w:rPr>
                <w:b/>
                <w:sz w:val="24"/>
                <w:szCs w:val="24"/>
              </w:rPr>
            </w:pPr>
            <w:r w:rsidRPr="000A01D2">
              <w:rPr>
                <w:b/>
                <w:sz w:val="24"/>
                <w:szCs w:val="24"/>
              </w:rPr>
              <w:t>Identificación</w:t>
            </w:r>
          </w:p>
        </w:tc>
        <w:tc>
          <w:tcPr>
            <w:tcW w:w="0" w:type="auto"/>
            <w:shd w:val="clear" w:color="auto" w:fill="FFFFFF" w:themeFill="background1"/>
          </w:tcPr>
          <w:p w14:paraId="11F0381A" w14:textId="64AD24E2" w:rsidR="00AB63DB" w:rsidRPr="003F6831" w:rsidRDefault="00AB63DB" w:rsidP="003F6831">
            <w:pPr>
              <w:spacing w:line="480" w:lineRule="auto"/>
              <w:rPr>
                <w:b/>
                <w:bCs/>
                <w:sz w:val="24"/>
                <w:szCs w:val="24"/>
                <w:lang w:val="es-ES_tradnl"/>
              </w:rPr>
            </w:pPr>
            <w:r w:rsidRPr="000A01D2">
              <w:rPr>
                <w:sz w:val="24"/>
                <w:szCs w:val="24"/>
              </w:rPr>
              <w:t xml:space="preserve">Corte Suprema de Justicia – Sala Laboral Radicado </w:t>
            </w:r>
            <w:r w:rsidRPr="000A01D2">
              <w:rPr>
                <w:rFonts w:eastAsia="Times New Roman"/>
                <w:sz w:val="24"/>
                <w:szCs w:val="24"/>
                <w:lang w:val="es-ES_tradnl" w:eastAsia="es-ES"/>
              </w:rPr>
              <w:t xml:space="preserve"> SL1452-2019</w:t>
            </w:r>
            <w:r w:rsidR="003F6831">
              <w:rPr>
                <w:rFonts w:eastAsia="Times New Roman"/>
                <w:sz w:val="24"/>
                <w:szCs w:val="24"/>
                <w:lang w:val="es-ES_tradnl" w:eastAsia="es-ES"/>
              </w:rPr>
              <w:t xml:space="preserve">, </w:t>
            </w:r>
            <w:r w:rsidRPr="000A01D2">
              <w:rPr>
                <w:rFonts w:eastAsia="Times New Roman"/>
                <w:sz w:val="24"/>
                <w:szCs w:val="24"/>
                <w:lang w:val="es-ES_tradnl" w:eastAsia="es-ES"/>
              </w:rPr>
              <w:t>Radicación N.° 68852 del 3 de abril de 2019</w:t>
            </w:r>
          </w:p>
        </w:tc>
      </w:tr>
      <w:tr w:rsidR="00AB63DB" w:rsidRPr="000A01D2" w14:paraId="40240F79" w14:textId="77777777" w:rsidTr="00FD720D">
        <w:tc>
          <w:tcPr>
            <w:tcW w:w="0" w:type="auto"/>
            <w:shd w:val="clear" w:color="auto" w:fill="FFFFFF" w:themeFill="background1"/>
            <w:hideMark/>
          </w:tcPr>
          <w:p w14:paraId="213C370F" w14:textId="77777777" w:rsidR="00AB63DB" w:rsidRPr="000A01D2" w:rsidRDefault="00AB63DB" w:rsidP="000A01D2">
            <w:pPr>
              <w:spacing w:line="480" w:lineRule="auto"/>
              <w:rPr>
                <w:b/>
                <w:sz w:val="24"/>
                <w:szCs w:val="24"/>
              </w:rPr>
            </w:pPr>
            <w:r w:rsidRPr="000A01D2">
              <w:rPr>
                <w:b/>
                <w:sz w:val="24"/>
                <w:szCs w:val="24"/>
              </w:rPr>
              <w:t>Magistrado ponente</w:t>
            </w:r>
          </w:p>
        </w:tc>
        <w:tc>
          <w:tcPr>
            <w:tcW w:w="0" w:type="auto"/>
            <w:shd w:val="clear" w:color="auto" w:fill="FFFFFF" w:themeFill="background1"/>
          </w:tcPr>
          <w:p w14:paraId="1E19000F" w14:textId="0C5D627B" w:rsidR="00AB63DB" w:rsidRPr="000A01D2" w:rsidRDefault="00301148" w:rsidP="000A01D2">
            <w:pPr>
              <w:spacing w:line="480" w:lineRule="auto"/>
              <w:rPr>
                <w:sz w:val="24"/>
                <w:szCs w:val="24"/>
              </w:rPr>
            </w:pPr>
            <w:r w:rsidRPr="000A01D2">
              <w:rPr>
                <w:sz w:val="24"/>
                <w:szCs w:val="24"/>
              </w:rPr>
              <w:t>Clara Cecilia Dueñas Quevedo</w:t>
            </w:r>
          </w:p>
        </w:tc>
      </w:tr>
      <w:tr w:rsidR="00AB63DB" w:rsidRPr="000A01D2" w14:paraId="5DEB84C6" w14:textId="77777777" w:rsidTr="00FD720D">
        <w:tc>
          <w:tcPr>
            <w:tcW w:w="0" w:type="auto"/>
            <w:shd w:val="clear" w:color="auto" w:fill="FFFFFF" w:themeFill="background1"/>
            <w:hideMark/>
          </w:tcPr>
          <w:p w14:paraId="42726E7F" w14:textId="77777777" w:rsidR="00AB63DB" w:rsidRPr="000A01D2" w:rsidRDefault="00AB63DB" w:rsidP="000A01D2">
            <w:pPr>
              <w:spacing w:line="480" w:lineRule="auto"/>
              <w:rPr>
                <w:b/>
                <w:sz w:val="24"/>
                <w:szCs w:val="24"/>
              </w:rPr>
            </w:pPr>
            <w:r w:rsidRPr="000A01D2">
              <w:rPr>
                <w:b/>
                <w:sz w:val="24"/>
                <w:szCs w:val="24"/>
              </w:rPr>
              <w:t>Partes</w:t>
            </w:r>
          </w:p>
        </w:tc>
        <w:tc>
          <w:tcPr>
            <w:tcW w:w="0" w:type="auto"/>
            <w:shd w:val="clear" w:color="auto" w:fill="FFFFFF" w:themeFill="background1"/>
          </w:tcPr>
          <w:p w14:paraId="3B05DA4D" w14:textId="1D5B2B5B" w:rsidR="00AB63DB" w:rsidRPr="000A01D2" w:rsidRDefault="00301148" w:rsidP="000A01D2">
            <w:pPr>
              <w:spacing w:line="480" w:lineRule="auto"/>
              <w:rPr>
                <w:rFonts w:eastAsia="Times New Roman"/>
                <w:sz w:val="24"/>
                <w:szCs w:val="24"/>
                <w:lang w:val="es-ES_tradnl" w:eastAsia="es-ES"/>
              </w:rPr>
            </w:pPr>
            <w:r w:rsidRPr="000A01D2">
              <w:rPr>
                <w:b/>
                <w:sz w:val="24"/>
                <w:szCs w:val="24"/>
              </w:rPr>
              <w:t xml:space="preserve">Demandante: </w:t>
            </w:r>
            <w:r w:rsidRPr="000A01D2">
              <w:rPr>
                <w:sz w:val="24"/>
                <w:szCs w:val="24"/>
              </w:rPr>
              <w:t xml:space="preserve">Gloria Inés Restrepo Pérez. </w:t>
            </w:r>
          </w:p>
          <w:p w14:paraId="6A947F7B" w14:textId="4ED7FC9F" w:rsidR="00AB63DB" w:rsidRPr="000A01D2" w:rsidRDefault="00301148" w:rsidP="000A01D2">
            <w:pPr>
              <w:spacing w:line="480" w:lineRule="auto"/>
              <w:rPr>
                <w:sz w:val="24"/>
                <w:szCs w:val="24"/>
              </w:rPr>
            </w:pPr>
            <w:r w:rsidRPr="000A01D2">
              <w:rPr>
                <w:b/>
                <w:sz w:val="24"/>
                <w:szCs w:val="24"/>
              </w:rPr>
              <w:t xml:space="preserve">Demandado: </w:t>
            </w:r>
            <w:r w:rsidRPr="000A01D2">
              <w:rPr>
                <w:sz w:val="24"/>
                <w:szCs w:val="24"/>
              </w:rPr>
              <w:t>COLPENSIONES y AFP Porvenir</w:t>
            </w:r>
          </w:p>
        </w:tc>
      </w:tr>
      <w:tr w:rsidR="00AB63DB" w:rsidRPr="000A01D2" w14:paraId="56AE998C" w14:textId="77777777" w:rsidTr="00FD720D">
        <w:tc>
          <w:tcPr>
            <w:tcW w:w="0" w:type="auto"/>
            <w:shd w:val="clear" w:color="auto" w:fill="FFFFFF" w:themeFill="background1"/>
          </w:tcPr>
          <w:p w14:paraId="2F5179C5" w14:textId="77777777" w:rsidR="00AB63DB" w:rsidRPr="000A01D2" w:rsidRDefault="00AB63DB" w:rsidP="000A01D2">
            <w:pPr>
              <w:spacing w:line="480" w:lineRule="auto"/>
              <w:rPr>
                <w:b/>
                <w:sz w:val="24"/>
                <w:szCs w:val="24"/>
              </w:rPr>
            </w:pPr>
            <w:r w:rsidRPr="000A01D2">
              <w:rPr>
                <w:b/>
                <w:sz w:val="24"/>
                <w:szCs w:val="24"/>
              </w:rPr>
              <w:t>Temas</w:t>
            </w:r>
          </w:p>
        </w:tc>
        <w:tc>
          <w:tcPr>
            <w:tcW w:w="0" w:type="auto"/>
            <w:shd w:val="clear" w:color="auto" w:fill="FFFFFF" w:themeFill="background1"/>
          </w:tcPr>
          <w:p w14:paraId="63B94C3D" w14:textId="77777777" w:rsidR="00AB63DB" w:rsidRPr="000A01D2" w:rsidRDefault="00AB63DB" w:rsidP="000A01D2">
            <w:pPr>
              <w:spacing w:line="480" w:lineRule="auto"/>
              <w:rPr>
                <w:sz w:val="24"/>
                <w:szCs w:val="24"/>
              </w:rPr>
            </w:pPr>
            <w:r w:rsidRPr="000A01D2">
              <w:rPr>
                <w:sz w:val="24"/>
                <w:szCs w:val="24"/>
              </w:rPr>
              <w:t>Ineficacia del traslado</w:t>
            </w:r>
          </w:p>
        </w:tc>
      </w:tr>
      <w:tr w:rsidR="00AB63DB" w:rsidRPr="000A01D2" w14:paraId="2E7E81EC" w14:textId="77777777" w:rsidTr="00FD720D">
        <w:tc>
          <w:tcPr>
            <w:tcW w:w="0" w:type="auto"/>
            <w:shd w:val="clear" w:color="auto" w:fill="FFFFFF" w:themeFill="background1"/>
            <w:hideMark/>
          </w:tcPr>
          <w:p w14:paraId="5EE6EED1" w14:textId="77777777" w:rsidR="0059472F" w:rsidRDefault="0059472F" w:rsidP="000A01D2">
            <w:pPr>
              <w:spacing w:line="480" w:lineRule="auto"/>
              <w:rPr>
                <w:b/>
                <w:sz w:val="24"/>
                <w:szCs w:val="24"/>
              </w:rPr>
            </w:pPr>
          </w:p>
          <w:p w14:paraId="03458474" w14:textId="2A3710B8" w:rsidR="00AB63DB" w:rsidRPr="000A01D2" w:rsidRDefault="00301148" w:rsidP="000A01D2">
            <w:pPr>
              <w:spacing w:line="480" w:lineRule="auto"/>
              <w:rPr>
                <w:b/>
                <w:sz w:val="24"/>
                <w:szCs w:val="24"/>
              </w:rPr>
            </w:pPr>
            <w:r w:rsidRPr="000A01D2">
              <w:rPr>
                <w:b/>
                <w:sz w:val="24"/>
                <w:szCs w:val="24"/>
              </w:rPr>
              <w:lastRenderedPageBreak/>
              <w:t>Hechos jurídicamente relevantes</w:t>
            </w:r>
          </w:p>
        </w:tc>
        <w:tc>
          <w:tcPr>
            <w:tcW w:w="0" w:type="auto"/>
            <w:shd w:val="clear" w:color="auto" w:fill="FFFFFF" w:themeFill="background1"/>
          </w:tcPr>
          <w:p w14:paraId="5C64BE63" w14:textId="77777777" w:rsidR="0059472F" w:rsidRDefault="0059472F" w:rsidP="000A01D2">
            <w:pPr>
              <w:spacing w:line="480" w:lineRule="auto"/>
              <w:rPr>
                <w:sz w:val="24"/>
                <w:szCs w:val="24"/>
              </w:rPr>
            </w:pPr>
          </w:p>
          <w:p w14:paraId="4A1C5C63" w14:textId="77777777" w:rsidR="00AB63DB" w:rsidRPr="000A01D2" w:rsidRDefault="00AB63DB" w:rsidP="000A01D2">
            <w:pPr>
              <w:spacing w:line="480" w:lineRule="auto"/>
              <w:rPr>
                <w:sz w:val="24"/>
                <w:szCs w:val="24"/>
              </w:rPr>
            </w:pPr>
            <w:r w:rsidRPr="000A01D2">
              <w:rPr>
                <w:sz w:val="24"/>
                <w:szCs w:val="24"/>
              </w:rPr>
              <w:lastRenderedPageBreak/>
              <w:t xml:space="preserve">La demandante </w:t>
            </w:r>
            <w:r w:rsidRPr="000A01D2">
              <w:rPr>
                <w:b/>
                <w:sz w:val="24"/>
                <w:szCs w:val="24"/>
              </w:rPr>
              <w:t>pretende</w:t>
            </w:r>
            <w:r w:rsidRPr="000A01D2">
              <w:rPr>
                <w:sz w:val="24"/>
                <w:szCs w:val="24"/>
              </w:rPr>
              <w:t xml:space="preserve"> la nulidad de traslado, declaracion de que es beneficiaria del regimen de transicion, pension de vejez, retroactivo, intereses moratorios, indexación y costas. </w:t>
            </w:r>
          </w:p>
          <w:p w14:paraId="3D11137D" w14:textId="77777777" w:rsidR="00AB63DB" w:rsidRPr="000A01D2" w:rsidRDefault="00AB63DB" w:rsidP="000A01D2">
            <w:pPr>
              <w:spacing w:line="480" w:lineRule="auto"/>
              <w:rPr>
                <w:sz w:val="24"/>
                <w:szCs w:val="24"/>
              </w:rPr>
            </w:pPr>
            <w:r w:rsidRPr="000A01D2">
              <w:rPr>
                <w:sz w:val="24"/>
                <w:szCs w:val="24"/>
              </w:rPr>
              <w:t>Sustenta las pretensiones de la demanda</w:t>
            </w:r>
            <w:r w:rsidRPr="000A01D2">
              <w:rPr>
                <w:b/>
                <w:sz w:val="24"/>
                <w:szCs w:val="24"/>
              </w:rPr>
              <w:t xml:space="preserve"> </w:t>
            </w:r>
            <w:r w:rsidRPr="000A01D2">
              <w:rPr>
                <w:sz w:val="24"/>
                <w:szCs w:val="24"/>
              </w:rPr>
              <w:t xml:space="preserve">en que: I) Cotizó al ISS y a la AFP PORVENIR S.A.  II) Se trasladó de fondo para la AFP Porvenir S.A. III) La AFP porvenir S.A violó el deber de información y los principios de buena fe y transparencia y por tanto le generó un evidente perjuicio. Iv) PORVENIR S.A le informó de las ventajas, le aconsejó que le resultaba mas beneficioso el traslado al RAIS y no indicó de las desventajas o consecuencias del acto jurídico de traslado como la pérdida del regímen de transición. V) Que solicitó la pensión de vejez y el ISS se la negó al no cumplir con los requisitos para conservar el regímen de transición. </w:t>
            </w:r>
          </w:p>
          <w:p w14:paraId="53256DDD" w14:textId="77777777" w:rsidR="00AB63DB" w:rsidRPr="000A01D2" w:rsidRDefault="00AB63DB" w:rsidP="000A01D2">
            <w:pPr>
              <w:spacing w:line="480" w:lineRule="auto"/>
              <w:rPr>
                <w:sz w:val="24"/>
                <w:szCs w:val="24"/>
              </w:rPr>
            </w:pPr>
            <w:r w:rsidRPr="000A01D2">
              <w:rPr>
                <w:b/>
                <w:sz w:val="24"/>
                <w:szCs w:val="24"/>
              </w:rPr>
              <w:t>PORVENIR</w:t>
            </w:r>
            <w:r w:rsidRPr="000A01D2">
              <w:rPr>
                <w:sz w:val="24"/>
                <w:szCs w:val="24"/>
              </w:rPr>
              <w:t xml:space="preserve"> en la </w:t>
            </w:r>
            <w:r w:rsidRPr="000A01D2">
              <w:rPr>
                <w:b/>
                <w:sz w:val="24"/>
                <w:szCs w:val="24"/>
              </w:rPr>
              <w:t>contestacion de la demanda</w:t>
            </w:r>
            <w:r w:rsidRPr="000A01D2">
              <w:rPr>
                <w:sz w:val="24"/>
                <w:szCs w:val="24"/>
              </w:rPr>
              <w:t xml:space="preserve"> se opone a la totalidad de las pretensiones. Señala que el formulario se suscribio de manera libre y voluntaria, que la selección de los regímenes pensionales es voluntaria, que la actora no ejerció el derecho de retracto y que no hay prueba del incumplimiento del deber legal de información. Formula las excepciones de: falta de causa para pedir, inexistencia de obligación, buena fe y prescripción. </w:t>
            </w:r>
          </w:p>
          <w:p w14:paraId="09EEF01F" w14:textId="185BA7B0" w:rsidR="00AB63DB" w:rsidRPr="000A01D2" w:rsidRDefault="00AB63DB" w:rsidP="000A01D2">
            <w:pPr>
              <w:spacing w:line="480" w:lineRule="auto"/>
              <w:rPr>
                <w:sz w:val="24"/>
                <w:szCs w:val="24"/>
              </w:rPr>
            </w:pPr>
            <w:r w:rsidRPr="000A01D2">
              <w:rPr>
                <w:b/>
                <w:sz w:val="24"/>
                <w:szCs w:val="24"/>
              </w:rPr>
              <w:t>COLPENSIONES</w:t>
            </w:r>
            <w:r w:rsidRPr="000A01D2">
              <w:rPr>
                <w:sz w:val="24"/>
                <w:szCs w:val="24"/>
              </w:rPr>
              <w:t xml:space="preserve"> en la </w:t>
            </w:r>
            <w:r w:rsidRPr="000A01D2">
              <w:rPr>
                <w:b/>
                <w:sz w:val="24"/>
                <w:szCs w:val="24"/>
              </w:rPr>
              <w:t>contestación</w:t>
            </w:r>
            <w:r w:rsidRPr="000A01D2">
              <w:rPr>
                <w:sz w:val="24"/>
                <w:szCs w:val="24"/>
              </w:rPr>
              <w:t xml:space="preserve"> </w:t>
            </w:r>
            <w:r w:rsidRPr="000A01D2">
              <w:rPr>
                <w:b/>
                <w:sz w:val="24"/>
                <w:szCs w:val="24"/>
              </w:rPr>
              <w:t>de la demanda</w:t>
            </w:r>
            <w:r w:rsidRPr="000A01D2">
              <w:rPr>
                <w:sz w:val="24"/>
                <w:szCs w:val="24"/>
              </w:rPr>
              <w:t xml:space="preserve"> se </w:t>
            </w:r>
            <w:r w:rsidRPr="000A01D2">
              <w:rPr>
                <w:sz w:val="24"/>
                <w:szCs w:val="24"/>
              </w:rPr>
              <w:lastRenderedPageBreak/>
              <w:t xml:space="preserve">opone a la totalidad de las pretensiones. Señala que negó la pretensión de pensión de vejez, porque, la actora perdió el regimen de transición al trasladarse de regímen y no reune el número de semanas exigidas. Propone las excepciones de: inexistencia de causa legal para pedir, compensación, prescripción, buena fe, imposibilidad de condena en costas, inescindibilidad de la norma – intereses moratorios e imposibilidad de improcedencia de </w:t>
            </w:r>
            <w:r w:rsidR="00301148" w:rsidRPr="000A01D2">
              <w:rPr>
                <w:sz w:val="24"/>
                <w:szCs w:val="24"/>
              </w:rPr>
              <w:t xml:space="preserve">la indexacion de las condenas. </w:t>
            </w:r>
          </w:p>
        </w:tc>
      </w:tr>
      <w:tr w:rsidR="00AB63DB" w:rsidRPr="000A01D2" w14:paraId="51996D6B" w14:textId="77777777" w:rsidTr="00FD720D">
        <w:tc>
          <w:tcPr>
            <w:tcW w:w="0" w:type="auto"/>
            <w:shd w:val="clear" w:color="auto" w:fill="FFFFFF" w:themeFill="background1"/>
          </w:tcPr>
          <w:p w14:paraId="464AF81A" w14:textId="2AF11CB2" w:rsidR="00AB63DB" w:rsidRPr="000A01D2" w:rsidRDefault="00AB63DB" w:rsidP="000A01D2">
            <w:pPr>
              <w:spacing w:line="480" w:lineRule="auto"/>
              <w:rPr>
                <w:b/>
                <w:sz w:val="24"/>
                <w:szCs w:val="24"/>
              </w:rPr>
            </w:pPr>
            <w:r w:rsidRPr="000A01D2">
              <w:rPr>
                <w:b/>
                <w:sz w:val="24"/>
                <w:szCs w:val="24"/>
              </w:rPr>
              <w:lastRenderedPageBreak/>
              <w:t xml:space="preserve">Decisiones </w:t>
            </w:r>
            <w:r w:rsidR="00301148" w:rsidRPr="000A01D2">
              <w:rPr>
                <w:b/>
                <w:sz w:val="24"/>
                <w:szCs w:val="24"/>
              </w:rPr>
              <w:t>de instancia</w:t>
            </w:r>
          </w:p>
        </w:tc>
        <w:tc>
          <w:tcPr>
            <w:tcW w:w="0" w:type="auto"/>
            <w:shd w:val="clear" w:color="auto" w:fill="FFFFFF" w:themeFill="background1"/>
          </w:tcPr>
          <w:p w14:paraId="451CCE38" w14:textId="44047FEF" w:rsidR="00AB63DB" w:rsidRPr="000A01D2" w:rsidRDefault="00301148" w:rsidP="000A01D2">
            <w:pPr>
              <w:spacing w:line="480" w:lineRule="auto"/>
              <w:rPr>
                <w:bCs/>
                <w:iCs/>
                <w:sz w:val="24"/>
                <w:szCs w:val="24"/>
              </w:rPr>
            </w:pPr>
            <w:r w:rsidRPr="000A01D2">
              <w:rPr>
                <w:b/>
                <w:bCs/>
                <w:iCs/>
                <w:sz w:val="24"/>
                <w:szCs w:val="24"/>
              </w:rPr>
              <w:t xml:space="preserve">Primera Instancia: </w:t>
            </w:r>
            <w:r w:rsidR="00AB63DB" w:rsidRPr="000A01D2">
              <w:rPr>
                <w:bCs/>
                <w:iCs/>
                <w:sz w:val="24"/>
                <w:szCs w:val="24"/>
              </w:rPr>
              <w:t xml:space="preserve">El </w:t>
            </w:r>
            <w:r w:rsidRPr="000A01D2">
              <w:rPr>
                <w:bCs/>
                <w:iCs/>
                <w:sz w:val="24"/>
                <w:szCs w:val="24"/>
              </w:rPr>
              <w:t>Juez Segundo Adjunto al Juez Noveno Laboral del Circuito de Medellín</w:t>
            </w:r>
            <w:r w:rsidR="00AB63DB" w:rsidRPr="000A01D2">
              <w:rPr>
                <w:bCs/>
                <w:iCs/>
                <w:sz w:val="24"/>
                <w:szCs w:val="24"/>
              </w:rPr>
              <w:t xml:space="preserve">, </w:t>
            </w:r>
            <w:r w:rsidRPr="000A01D2">
              <w:rPr>
                <w:bCs/>
                <w:iCs/>
                <w:sz w:val="24"/>
                <w:szCs w:val="24"/>
              </w:rPr>
              <w:t>ABSOLVIÓ</w:t>
            </w:r>
            <w:r w:rsidR="00AB63DB" w:rsidRPr="000A01D2">
              <w:rPr>
                <w:bCs/>
                <w:iCs/>
                <w:sz w:val="24"/>
                <w:szCs w:val="24"/>
              </w:rPr>
              <w:t xml:space="preserve"> </w:t>
            </w:r>
            <w:r w:rsidR="00A771A5" w:rsidRPr="000A01D2">
              <w:rPr>
                <w:bCs/>
                <w:iCs/>
                <w:sz w:val="24"/>
                <w:szCs w:val="24"/>
              </w:rPr>
              <w:t>a las demandadas.</w:t>
            </w:r>
          </w:p>
          <w:p w14:paraId="7D200CD6" w14:textId="6148B497" w:rsidR="00AB63DB" w:rsidRPr="000A01D2" w:rsidRDefault="00301148" w:rsidP="000A01D2">
            <w:pPr>
              <w:spacing w:line="480" w:lineRule="auto"/>
              <w:rPr>
                <w:bCs/>
                <w:iCs/>
                <w:sz w:val="24"/>
                <w:szCs w:val="24"/>
              </w:rPr>
            </w:pPr>
            <w:r w:rsidRPr="000A01D2">
              <w:rPr>
                <w:b/>
                <w:bCs/>
                <w:iCs/>
                <w:sz w:val="24"/>
                <w:szCs w:val="24"/>
              </w:rPr>
              <w:t xml:space="preserve">Segunda Instancia: </w:t>
            </w:r>
            <w:r w:rsidRPr="000A01D2">
              <w:rPr>
                <w:bCs/>
                <w:iCs/>
                <w:sz w:val="24"/>
                <w:szCs w:val="24"/>
              </w:rPr>
              <w:t>E</w:t>
            </w:r>
            <w:r w:rsidR="00AB63DB" w:rsidRPr="000A01D2">
              <w:rPr>
                <w:bCs/>
                <w:iCs/>
                <w:sz w:val="24"/>
                <w:szCs w:val="24"/>
              </w:rPr>
              <w:t xml:space="preserve">l Tribunal Superior de Medellín confirma </w:t>
            </w:r>
            <w:r w:rsidRPr="000A01D2">
              <w:rPr>
                <w:bCs/>
                <w:iCs/>
                <w:sz w:val="24"/>
                <w:szCs w:val="24"/>
              </w:rPr>
              <w:t>la sentencia de primera instancia.</w:t>
            </w:r>
          </w:p>
        </w:tc>
      </w:tr>
      <w:tr w:rsidR="00AB63DB" w:rsidRPr="000A01D2" w14:paraId="32AD8BC3" w14:textId="77777777" w:rsidTr="00FD720D">
        <w:tc>
          <w:tcPr>
            <w:tcW w:w="0" w:type="auto"/>
            <w:shd w:val="clear" w:color="auto" w:fill="FFFFFF" w:themeFill="background1"/>
          </w:tcPr>
          <w:p w14:paraId="06078F7F" w14:textId="77777777" w:rsidR="00AB63DB" w:rsidRPr="000A01D2" w:rsidRDefault="00AB63DB" w:rsidP="000A01D2">
            <w:pPr>
              <w:spacing w:line="480" w:lineRule="auto"/>
              <w:rPr>
                <w:b/>
                <w:sz w:val="24"/>
                <w:szCs w:val="24"/>
              </w:rPr>
            </w:pPr>
            <w:r w:rsidRPr="000A01D2">
              <w:rPr>
                <w:b/>
                <w:sz w:val="24"/>
                <w:szCs w:val="24"/>
              </w:rPr>
              <w:t>Recurso de casación</w:t>
            </w:r>
          </w:p>
        </w:tc>
        <w:tc>
          <w:tcPr>
            <w:tcW w:w="0" w:type="auto"/>
            <w:shd w:val="clear" w:color="auto" w:fill="FFFFFF" w:themeFill="background1"/>
          </w:tcPr>
          <w:p w14:paraId="2B713FE9" w14:textId="74233F5E" w:rsidR="00AB63DB" w:rsidRPr="000A01D2" w:rsidRDefault="00AB63DB" w:rsidP="000A01D2">
            <w:pPr>
              <w:spacing w:line="480" w:lineRule="auto"/>
              <w:rPr>
                <w:bCs/>
                <w:iCs/>
                <w:sz w:val="24"/>
                <w:szCs w:val="24"/>
              </w:rPr>
            </w:pPr>
            <w:r w:rsidRPr="000A01D2">
              <w:rPr>
                <w:bCs/>
                <w:iCs/>
                <w:sz w:val="24"/>
                <w:szCs w:val="24"/>
              </w:rPr>
              <w:t xml:space="preserve">La recurrente argumenta que el </w:t>
            </w:r>
            <w:r w:rsidRPr="000A01D2">
              <w:rPr>
                <w:bCs/>
                <w:i/>
                <w:iCs/>
                <w:sz w:val="24"/>
                <w:szCs w:val="24"/>
              </w:rPr>
              <w:t xml:space="preserve">ad quem </w:t>
            </w:r>
            <w:r w:rsidRPr="000A01D2">
              <w:rPr>
                <w:bCs/>
                <w:iCs/>
                <w:sz w:val="24"/>
                <w:szCs w:val="24"/>
              </w:rPr>
              <w:t>al concentrarse en la válidez formal del formulario de afiliación, omitió indagar si la AFP dió cumplimiento a su deber legal de informar de manera clara y suficiente sobre las consecuencias del traslado; que la prueba de la diligencia y cuidado incumbe a quien ha debido emplearla y, en este caso, correspondía a PORVENIR S.A., y que la nulidad de la afiliación a una AFP por incumplimiento del deber de información no depende de que la persona tenga una e</w:t>
            </w:r>
            <w:r w:rsidR="00301148" w:rsidRPr="000A01D2">
              <w:rPr>
                <w:bCs/>
                <w:iCs/>
                <w:sz w:val="24"/>
                <w:szCs w:val="24"/>
              </w:rPr>
              <w:t>xpectativa pensional.</w:t>
            </w:r>
          </w:p>
        </w:tc>
      </w:tr>
      <w:tr w:rsidR="00AB63DB" w:rsidRPr="000A01D2" w14:paraId="15527600" w14:textId="77777777" w:rsidTr="00FD720D">
        <w:tc>
          <w:tcPr>
            <w:tcW w:w="0" w:type="auto"/>
            <w:shd w:val="clear" w:color="auto" w:fill="FFFFFF" w:themeFill="background1"/>
            <w:hideMark/>
          </w:tcPr>
          <w:p w14:paraId="46D78192" w14:textId="55E837E8" w:rsidR="00AB63DB" w:rsidRPr="000A01D2" w:rsidRDefault="00AB63DB" w:rsidP="000A01D2">
            <w:pPr>
              <w:spacing w:line="480" w:lineRule="auto"/>
              <w:rPr>
                <w:b/>
                <w:sz w:val="24"/>
                <w:szCs w:val="24"/>
              </w:rPr>
            </w:pPr>
            <w:r w:rsidRPr="000A01D2">
              <w:rPr>
                <w:b/>
                <w:sz w:val="24"/>
                <w:szCs w:val="24"/>
              </w:rPr>
              <w:lastRenderedPageBreak/>
              <w:t xml:space="preserve">Decisión de </w:t>
            </w:r>
            <w:r w:rsidR="00A771A5" w:rsidRPr="000A01D2">
              <w:rPr>
                <w:b/>
                <w:sz w:val="24"/>
                <w:szCs w:val="24"/>
              </w:rPr>
              <w:t>casación</w:t>
            </w:r>
          </w:p>
        </w:tc>
        <w:tc>
          <w:tcPr>
            <w:tcW w:w="0" w:type="auto"/>
            <w:shd w:val="clear" w:color="auto" w:fill="FFFFFF" w:themeFill="background1"/>
          </w:tcPr>
          <w:p w14:paraId="54928DB0" w14:textId="3D074476" w:rsidR="00AB63DB" w:rsidRPr="000A01D2" w:rsidRDefault="00AB63DB" w:rsidP="000A01D2">
            <w:pPr>
              <w:spacing w:line="480" w:lineRule="auto"/>
              <w:rPr>
                <w:bCs/>
                <w:iCs/>
                <w:sz w:val="24"/>
                <w:szCs w:val="24"/>
              </w:rPr>
            </w:pPr>
            <w:r w:rsidRPr="000A01D2">
              <w:rPr>
                <w:bCs/>
                <w:iCs/>
                <w:sz w:val="24"/>
                <w:szCs w:val="24"/>
              </w:rPr>
              <w:t>CASA</w:t>
            </w:r>
            <w:r w:rsidR="00A771A5" w:rsidRPr="000A01D2">
              <w:rPr>
                <w:bCs/>
                <w:iCs/>
                <w:sz w:val="24"/>
                <w:szCs w:val="24"/>
              </w:rPr>
              <w:t xml:space="preserve"> la sentencia del  Tribunal Superior de Medellín.</w:t>
            </w:r>
          </w:p>
        </w:tc>
      </w:tr>
      <w:tr w:rsidR="00A771A5" w:rsidRPr="000A01D2" w14:paraId="21D15FFE" w14:textId="77777777" w:rsidTr="00FD720D">
        <w:tc>
          <w:tcPr>
            <w:tcW w:w="0" w:type="auto"/>
            <w:tcBorders>
              <w:bottom w:val="single" w:sz="4" w:space="0" w:color="auto"/>
            </w:tcBorders>
            <w:shd w:val="clear" w:color="auto" w:fill="FFFFFF" w:themeFill="background1"/>
          </w:tcPr>
          <w:p w14:paraId="00C8CC64" w14:textId="095BFB1C" w:rsidR="00A771A5" w:rsidRPr="000A01D2" w:rsidRDefault="00A771A5" w:rsidP="000A01D2">
            <w:pPr>
              <w:spacing w:line="480" w:lineRule="auto"/>
              <w:rPr>
                <w:b/>
                <w:sz w:val="24"/>
                <w:szCs w:val="24"/>
              </w:rPr>
            </w:pPr>
            <w:r w:rsidRPr="000A01D2">
              <w:rPr>
                <w:b/>
                <w:sz w:val="24"/>
                <w:szCs w:val="24"/>
              </w:rPr>
              <w:t>Problema jurídico</w:t>
            </w:r>
          </w:p>
        </w:tc>
        <w:tc>
          <w:tcPr>
            <w:tcW w:w="0" w:type="auto"/>
            <w:tcBorders>
              <w:bottom w:val="single" w:sz="4" w:space="0" w:color="auto"/>
            </w:tcBorders>
            <w:shd w:val="clear" w:color="auto" w:fill="FFFFFF" w:themeFill="background1"/>
          </w:tcPr>
          <w:p w14:paraId="3255D4CC" w14:textId="501B5AAB" w:rsidR="00A771A5" w:rsidRPr="000A01D2" w:rsidRDefault="00A771A5" w:rsidP="000A01D2">
            <w:pPr>
              <w:spacing w:line="480" w:lineRule="auto"/>
              <w:rPr>
                <w:sz w:val="24"/>
                <w:szCs w:val="24"/>
                <w:lang w:val="es-ES"/>
              </w:rPr>
            </w:pPr>
            <w:r w:rsidRPr="000A01D2">
              <w:rPr>
                <w:sz w:val="24"/>
                <w:szCs w:val="24"/>
                <w:lang w:val="es-ES"/>
              </w:rPr>
              <w:t xml:space="preserve">La Corte analiza cuatro aspectos fundamentales que son los siguientes: i) la obligación relativa al deber de información a cargo de las AFP;  ii) si para dar por satisfecho ese deber es suficiente con diligenciar el formato de afiliación; iii) determina quién tiene la carga de la prueba en dichos eventos, y iv) si la ineficacia de la afiliación solo tiene cabida cuando el afiliado tiene una expectativa pensional o un derecho causado. </w:t>
            </w:r>
          </w:p>
        </w:tc>
      </w:tr>
      <w:tr w:rsidR="00AB63DB" w:rsidRPr="000A01D2" w14:paraId="28B73E54" w14:textId="77777777" w:rsidTr="00FD720D">
        <w:tc>
          <w:tcPr>
            <w:tcW w:w="0" w:type="auto"/>
            <w:tcBorders>
              <w:top w:val="single" w:sz="4" w:space="0" w:color="auto"/>
              <w:bottom w:val="single" w:sz="4" w:space="0" w:color="auto"/>
            </w:tcBorders>
            <w:shd w:val="clear" w:color="auto" w:fill="FFFFFF" w:themeFill="background1"/>
          </w:tcPr>
          <w:p w14:paraId="1785A868" w14:textId="77777777" w:rsidR="00AB63DB" w:rsidRPr="000A01D2" w:rsidRDefault="00AB63DB" w:rsidP="000A01D2">
            <w:pPr>
              <w:spacing w:line="480" w:lineRule="auto"/>
              <w:rPr>
                <w:b/>
                <w:sz w:val="24"/>
                <w:szCs w:val="24"/>
              </w:rPr>
            </w:pPr>
            <w:r w:rsidRPr="000A01D2">
              <w:rPr>
                <w:b/>
                <w:sz w:val="24"/>
                <w:szCs w:val="24"/>
              </w:rPr>
              <w:t xml:space="preserve">Consideraciones </w:t>
            </w:r>
          </w:p>
        </w:tc>
        <w:tc>
          <w:tcPr>
            <w:tcW w:w="0" w:type="auto"/>
            <w:tcBorders>
              <w:top w:val="single" w:sz="4" w:space="0" w:color="auto"/>
              <w:bottom w:val="single" w:sz="4" w:space="0" w:color="auto"/>
            </w:tcBorders>
            <w:shd w:val="clear" w:color="auto" w:fill="FFFFFF" w:themeFill="background1"/>
          </w:tcPr>
          <w:p w14:paraId="5646D6BF" w14:textId="51D6C723" w:rsidR="00AB63DB" w:rsidRPr="000A01D2" w:rsidRDefault="00AB63DB" w:rsidP="000A01D2">
            <w:pPr>
              <w:spacing w:line="480" w:lineRule="auto"/>
              <w:rPr>
                <w:sz w:val="24"/>
                <w:szCs w:val="24"/>
                <w:lang w:val="es-ES"/>
              </w:rPr>
            </w:pPr>
            <w:r w:rsidRPr="000A01D2">
              <w:rPr>
                <w:sz w:val="24"/>
                <w:szCs w:val="24"/>
                <w:lang w:val="es-ES"/>
              </w:rPr>
              <w:t>La Corte, analiza la evolución normativa del deber de información desde tres etapas con el fin de demostrar que el deber de información a cargo de las AFP, ha s</w:t>
            </w:r>
            <w:r w:rsidR="00AA3874" w:rsidRPr="000A01D2">
              <w:rPr>
                <w:sz w:val="24"/>
                <w:szCs w:val="24"/>
                <w:lang w:val="es-ES"/>
              </w:rPr>
              <w:t xml:space="preserve">ido exigible desde su creación. </w:t>
            </w:r>
            <w:r w:rsidRPr="000A01D2">
              <w:rPr>
                <w:sz w:val="24"/>
                <w:szCs w:val="24"/>
                <w:lang w:val="es-ES"/>
              </w:rPr>
              <w:t xml:space="preserve">Frente a la primera etapa, dice que el deber de información consistía en la ilustración de las características, condiciones, acceso, efectos y riesgos de cada uno de los regímenes pensionales, lo que incluye dar a conocer la existencia de un régimen de transición y la eventual pérdida de beneficios pensionales. </w:t>
            </w:r>
          </w:p>
          <w:p w14:paraId="76A93E91" w14:textId="0AC41013" w:rsidR="00AB63DB" w:rsidRPr="000A01D2" w:rsidRDefault="00AB63DB" w:rsidP="000A01D2">
            <w:pPr>
              <w:spacing w:line="480" w:lineRule="auto"/>
              <w:rPr>
                <w:sz w:val="24"/>
                <w:szCs w:val="24"/>
                <w:lang w:val="es-ES"/>
              </w:rPr>
            </w:pPr>
            <w:r w:rsidRPr="000A01D2">
              <w:rPr>
                <w:sz w:val="24"/>
                <w:szCs w:val="24"/>
                <w:lang w:val="es-ES"/>
              </w:rPr>
              <w:t>Frente a la segunda etapa, indica que, el deber a cargo de las AFP consistía en un deber de información, asesoría y buen consejo</w:t>
            </w:r>
            <w:r w:rsidR="00AA3874" w:rsidRPr="000A01D2">
              <w:rPr>
                <w:sz w:val="24"/>
                <w:szCs w:val="24"/>
                <w:lang w:val="es-ES"/>
              </w:rPr>
              <w:t>,</w:t>
            </w:r>
            <w:r w:rsidRPr="000A01D2">
              <w:rPr>
                <w:sz w:val="24"/>
                <w:szCs w:val="24"/>
                <w:lang w:val="es-ES"/>
              </w:rPr>
              <w:t xml:space="preserve"> </w:t>
            </w:r>
            <w:r w:rsidR="00AA3874" w:rsidRPr="000A01D2">
              <w:rPr>
                <w:sz w:val="24"/>
                <w:szCs w:val="24"/>
                <w:lang w:val="es-ES"/>
              </w:rPr>
              <w:t>y cuyo</w:t>
            </w:r>
            <w:r w:rsidRPr="000A01D2">
              <w:rPr>
                <w:sz w:val="24"/>
                <w:szCs w:val="24"/>
                <w:lang w:val="es-ES"/>
              </w:rPr>
              <w:t xml:space="preserve"> contenido mínimo y alcance implica el análisis previo, calificado y global de los antecedentes del afiliado y los pormenores de los regímenes pensionales, a fin de que el asesor </w:t>
            </w:r>
            <w:r w:rsidRPr="000A01D2">
              <w:rPr>
                <w:sz w:val="24"/>
                <w:szCs w:val="24"/>
                <w:lang w:val="es-ES"/>
              </w:rPr>
              <w:lastRenderedPageBreak/>
              <w:t>o promotor pueda emitir un consejo, sugerencia o recomendación al afiliado acerca de lo que m</w:t>
            </w:r>
            <w:r w:rsidR="00B94147">
              <w:rPr>
                <w:sz w:val="24"/>
                <w:szCs w:val="24"/>
                <w:lang w:val="es-ES"/>
              </w:rPr>
              <w:t>á</w:t>
            </w:r>
            <w:r w:rsidRPr="000A01D2">
              <w:rPr>
                <w:sz w:val="24"/>
                <w:szCs w:val="24"/>
                <w:lang w:val="es-ES"/>
              </w:rPr>
              <w:t xml:space="preserve">s le conviene y, por tanto, lo que podría perjudicarle. </w:t>
            </w:r>
          </w:p>
          <w:p w14:paraId="55D23111" w14:textId="3EBE3388" w:rsidR="00AB63DB" w:rsidRPr="000A01D2" w:rsidRDefault="00AB63DB" w:rsidP="000A01D2">
            <w:pPr>
              <w:spacing w:line="480" w:lineRule="auto"/>
              <w:rPr>
                <w:sz w:val="24"/>
                <w:szCs w:val="24"/>
                <w:lang w:val="es-ES"/>
              </w:rPr>
            </w:pPr>
            <w:r w:rsidRPr="000A01D2">
              <w:rPr>
                <w:sz w:val="24"/>
                <w:szCs w:val="24"/>
                <w:lang w:val="es-ES"/>
              </w:rPr>
              <w:t>Frente a la tercera etapa, la Corte manifiesta que el deber a cargo de las AFP, consiste en un deber de información, asesoría, buen consejo y doble asesoría</w:t>
            </w:r>
            <w:r w:rsidR="001A549E" w:rsidRPr="000A01D2">
              <w:rPr>
                <w:sz w:val="24"/>
                <w:szCs w:val="24"/>
                <w:lang w:val="es-ES"/>
              </w:rPr>
              <w:t>; cuyo co</w:t>
            </w:r>
            <w:r w:rsidRPr="000A01D2">
              <w:rPr>
                <w:sz w:val="24"/>
                <w:szCs w:val="24"/>
                <w:lang w:val="es-ES"/>
              </w:rPr>
              <w:t xml:space="preserve">ntenido mínimo y alcance lleva inmerso el derecho a obtener asesoría de los representantes de ambos regímenes pensionales. </w:t>
            </w:r>
          </w:p>
          <w:p w14:paraId="7BB144B2" w14:textId="788BEF5D" w:rsidR="00AB63DB" w:rsidRPr="000A01D2" w:rsidRDefault="00AB63DB" w:rsidP="000A01D2">
            <w:pPr>
              <w:spacing w:line="480" w:lineRule="auto"/>
              <w:rPr>
                <w:sz w:val="24"/>
                <w:szCs w:val="24"/>
                <w:lang w:val="es-ES"/>
              </w:rPr>
            </w:pPr>
            <w:r w:rsidRPr="000A01D2">
              <w:rPr>
                <w:sz w:val="24"/>
                <w:szCs w:val="24"/>
                <w:lang w:val="es-ES"/>
              </w:rPr>
              <w:t>Teniendo en cuenta el recuento anterior, la Corte establece que las AFP, desde su creación, tenían el deber de brindar información a los afiliados o usuarios del sistema pensional a fin de que estos pudiesen adoptar una decisión consciente y realmente libre sobre su futuro pensional y que con el pasar del tiempo, el grado de intensidad de esa exigencia cambi</w:t>
            </w:r>
            <w:r w:rsidR="00B94147">
              <w:rPr>
                <w:sz w:val="24"/>
                <w:szCs w:val="24"/>
                <w:lang w:val="es-ES"/>
              </w:rPr>
              <w:t>ó</w:t>
            </w:r>
            <w:r w:rsidRPr="000A01D2">
              <w:rPr>
                <w:sz w:val="24"/>
                <w:szCs w:val="24"/>
                <w:lang w:val="es-ES"/>
              </w:rPr>
              <w:t xml:space="preserve"> para acumular m</w:t>
            </w:r>
            <w:r w:rsidR="00B94147">
              <w:rPr>
                <w:sz w:val="24"/>
                <w:szCs w:val="24"/>
                <w:lang w:val="es-ES"/>
              </w:rPr>
              <w:t>á</w:t>
            </w:r>
            <w:r w:rsidRPr="000A01D2">
              <w:rPr>
                <w:sz w:val="24"/>
                <w:szCs w:val="24"/>
                <w:lang w:val="es-ES"/>
              </w:rPr>
              <w:t>s obligaciones, pasando de un deber de información necesaria</w:t>
            </w:r>
            <w:r w:rsidR="00B94147">
              <w:rPr>
                <w:sz w:val="24"/>
                <w:szCs w:val="24"/>
                <w:lang w:val="es-ES"/>
              </w:rPr>
              <w:t xml:space="preserve">, </w:t>
            </w:r>
            <w:r w:rsidRPr="000A01D2">
              <w:rPr>
                <w:sz w:val="24"/>
                <w:szCs w:val="24"/>
                <w:lang w:val="es-ES"/>
              </w:rPr>
              <w:t xml:space="preserve">al de asesoría y buen consejo y finalmente al de doble asesoría, por lo que, implica la necesidad de que los jueces evalúen el cumplimiento del deber de información de acuerdo con el momento histórico en que debía cumplirse. </w:t>
            </w:r>
          </w:p>
          <w:p w14:paraId="13852D5D" w14:textId="222DBBDD" w:rsidR="00AB63DB" w:rsidRPr="000A01D2" w:rsidRDefault="00AB63DB" w:rsidP="000A01D2">
            <w:pPr>
              <w:spacing w:line="480" w:lineRule="auto"/>
              <w:rPr>
                <w:sz w:val="24"/>
                <w:szCs w:val="24"/>
                <w:lang w:val="es-ES"/>
              </w:rPr>
            </w:pPr>
            <w:r w:rsidRPr="000A01D2">
              <w:rPr>
                <w:sz w:val="24"/>
                <w:szCs w:val="24"/>
                <w:lang w:val="es-ES"/>
              </w:rPr>
              <w:t xml:space="preserve">De otro lado, la Corte manifiesta que el simple consentimiento vertido en el formulario de afiliación o las afirmaciones o leyendas consignadas en formatos preimpresos de los fondos de </w:t>
            </w:r>
            <w:r w:rsidRPr="000A01D2">
              <w:rPr>
                <w:sz w:val="24"/>
                <w:szCs w:val="24"/>
                <w:lang w:val="es-ES"/>
              </w:rPr>
              <w:lastRenderedPageBreak/>
              <w:t xml:space="preserve">pensiones es insuficiente, por lo que, </w:t>
            </w:r>
            <w:r w:rsidR="001A549E" w:rsidRPr="000A01D2">
              <w:rPr>
                <w:sz w:val="24"/>
                <w:szCs w:val="24"/>
                <w:lang w:val="es-ES"/>
              </w:rPr>
              <w:t>de</w:t>
            </w:r>
            <w:r w:rsidR="00724FBC">
              <w:rPr>
                <w:sz w:val="24"/>
                <w:szCs w:val="24"/>
                <w:lang w:val="es-ES"/>
              </w:rPr>
              <w:t>be darse</w:t>
            </w:r>
            <w:r w:rsidR="001A549E" w:rsidRPr="000A01D2">
              <w:rPr>
                <w:sz w:val="24"/>
                <w:szCs w:val="24"/>
                <w:lang w:val="es-ES"/>
              </w:rPr>
              <w:t xml:space="preserve"> un </w:t>
            </w:r>
            <w:r w:rsidRPr="000A01D2">
              <w:rPr>
                <w:sz w:val="24"/>
                <w:szCs w:val="24"/>
                <w:lang w:val="es-ES"/>
              </w:rPr>
              <w:t>consentimiento informado</w:t>
            </w:r>
            <w:r w:rsidR="001A549E" w:rsidRPr="000A01D2">
              <w:rPr>
                <w:sz w:val="24"/>
                <w:szCs w:val="24"/>
                <w:lang w:val="es-ES"/>
              </w:rPr>
              <w:t>, que consiste en</w:t>
            </w:r>
            <w:r w:rsidRPr="000A01D2">
              <w:rPr>
                <w:sz w:val="24"/>
                <w:szCs w:val="24"/>
                <w:lang w:val="es-ES"/>
              </w:rPr>
              <w:t xml:space="preserve"> un procedimiento que garantiza, antes de aceptar un ofrecimiento o un servicio, la comprensión por el usuario de las condiciones, riesgos y consecuencias de su afiliación al régimen. </w:t>
            </w:r>
          </w:p>
          <w:p w14:paraId="6F0DF6B2" w14:textId="30EF269C" w:rsidR="00AB63DB" w:rsidRPr="000A01D2" w:rsidRDefault="001A549E" w:rsidP="000A01D2">
            <w:pPr>
              <w:spacing w:line="480" w:lineRule="auto"/>
              <w:rPr>
                <w:sz w:val="24"/>
                <w:szCs w:val="24"/>
                <w:lang w:val="es-ES"/>
              </w:rPr>
            </w:pPr>
            <w:r w:rsidRPr="000A01D2">
              <w:rPr>
                <w:sz w:val="24"/>
                <w:szCs w:val="24"/>
                <w:lang w:val="es-ES"/>
              </w:rPr>
              <w:t>Además, se reitera el tema de</w:t>
            </w:r>
            <w:r w:rsidR="00AB63DB" w:rsidRPr="000A01D2">
              <w:rPr>
                <w:sz w:val="24"/>
                <w:szCs w:val="24"/>
                <w:lang w:val="es-ES"/>
              </w:rPr>
              <w:t xml:space="preserve"> la inversión de la carga de </w:t>
            </w:r>
            <w:r w:rsidRPr="000A01D2">
              <w:rPr>
                <w:sz w:val="24"/>
                <w:szCs w:val="24"/>
                <w:lang w:val="es-ES"/>
              </w:rPr>
              <w:t xml:space="preserve">la prueba a favor del afiliado, </w:t>
            </w:r>
            <w:r w:rsidR="003F75EF" w:rsidRPr="000A01D2">
              <w:rPr>
                <w:sz w:val="24"/>
                <w:szCs w:val="24"/>
                <w:lang w:val="es-ES"/>
              </w:rPr>
              <w:t>manifestando</w:t>
            </w:r>
            <w:r w:rsidR="00AB63DB" w:rsidRPr="000A01D2">
              <w:rPr>
                <w:sz w:val="24"/>
                <w:szCs w:val="24"/>
                <w:lang w:val="es-ES"/>
              </w:rPr>
              <w:t xml:space="preserve"> la falta de información veraz y suficiente debe ser alegada por el afiliado y demostrada por la AFP, ya que, al ser un supuesto negativo, no puede demostrarse materialmente por quien lo invoca y que corresponde a su contraparte demostrarlo, porque, es quien est</w:t>
            </w:r>
            <w:r w:rsidR="00B94147">
              <w:rPr>
                <w:sz w:val="24"/>
                <w:szCs w:val="24"/>
                <w:lang w:val="es-ES"/>
              </w:rPr>
              <w:t>á</w:t>
            </w:r>
            <w:r w:rsidR="00AB63DB" w:rsidRPr="000A01D2">
              <w:rPr>
                <w:sz w:val="24"/>
                <w:szCs w:val="24"/>
                <w:lang w:val="es-ES"/>
              </w:rPr>
              <w:t xml:space="preserve"> en posición de hacerlo. En tal sentido, es la AFP quien debe acreditar que se suministró la asesoría en forma correcta. </w:t>
            </w:r>
          </w:p>
          <w:p w14:paraId="4D7E2EE9" w14:textId="40C8F92A" w:rsidR="00AB63DB" w:rsidRPr="000A01D2" w:rsidRDefault="00AB63DB" w:rsidP="000A01D2">
            <w:pPr>
              <w:spacing w:line="480" w:lineRule="auto"/>
              <w:rPr>
                <w:sz w:val="24"/>
                <w:szCs w:val="24"/>
                <w:lang w:val="es-ES"/>
              </w:rPr>
            </w:pPr>
            <w:r w:rsidRPr="000A01D2">
              <w:rPr>
                <w:sz w:val="24"/>
                <w:szCs w:val="24"/>
                <w:lang w:val="es-ES"/>
              </w:rPr>
              <w:t>Finalmente</w:t>
            </w:r>
            <w:r w:rsidR="00B94147">
              <w:rPr>
                <w:sz w:val="24"/>
                <w:szCs w:val="24"/>
                <w:lang w:val="es-ES"/>
              </w:rPr>
              <w:t>,</w:t>
            </w:r>
            <w:r w:rsidRPr="000A01D2">
              <w:rPr>
                <w:sz w:val="24"/>
                <w:szCs w:val="24"/>
                <w:lang w:val="es-ES"/>
              </w:rPr>
              <w:t xml:space="preserve"> la </w:t>
            </w:r>
            <w:r w:rsidR="00B94147">
              <w:rPr>
                <w:sz w:val="24"/>
                <w:szCs w:val="24"/>
                <w:lang w:val="es-ES"/>
              </w:rPr>
              <w:t>C</w:t>
            </w:r>
            <w:r w:rsidRPr="000A01D2">
              <w:rPr>
                <w:sz w:val="24"/>
                <w:szCs w:val="24"/>
                <w:lang w:val="es-ES"/>
              </w:rPr>
              <w:t>orte analiza el alcance de la jurisprudencia de la corporación en torno a la ineficacia del traslado y concluye que no es necesario estar ad portas de causar el derecho o te</w:t>
            </w:r>
            <w:r w:rsidR="003F75EF" w:rsidRPr="000A01D2">
              <w:rPr>
                <w:sz w:val="24"/>
                <w:szCs w:val="24"/>
                <w:lang w:val="es-ES"/>
              </w:rPr>
              <w:t xml:space="preserve">ner un derecho causado, ya que </w:t>
            </w:r>
            <w:r w:rsidRPr="000A01D2">
              <w:rPr>
                <w:sz w:val="24"/>
                <w:szCs w:val="24"/>
                <w:lang w:val="es-ES"/>
              </w:rPr>
              <w:t>ni la legislación, ni la jurisprudencia</w:t>
            </w:r>
            <w:r w:rsidR="003F75EF" w:rsidRPr="000A01D2">
              <w:rPr>
                <w:sz w:val="24"/>
                <w:szCs w:val="24"/>
                <w:lang w:val="es-ES"/>
              </w:rPr>
              <w:t>,</w:t>
            </w:r>
            <w:r w:rsidRPr="000A01D2">
              <w:rPr>
                <w:sz w:val="24"/>
                <w:szCs w:val="24"/>
                <w:lang w:val="es-ES"/>
              </w:rPr>
              <w:t xml:space="preserve"> tiene</w:t>
            </w:r>
            <w:r w:rsidR="003F75EF" w:rsidRPr="000A01D2">
              <w:rPr>
                <w:sz w:val="24"/>
                <w:szCs w:val="24"/>
                <w:lang w:val="es-ES"/>
              </w:rPr>
              <w:t>n</w:t>
            </w:r>
            <w:r w:rsidRPr="000A01D2">
              <w:rPr>
                <w:sz w:val="24"/>
                <w:szCs w:val="24"/>
                <w:lang w:val="es-ES"/>
              </w:rPr>
              <w:t xml:space="preserve"> establecido que se debe contar con una suerte de expectativa pensional o derecho causado para que proceda la ineficacia del traslado a una AFP por incumplimiento del deber de información. </w:t>
            </w:r>
          </w:p>
          <w:p w14:paraId="00146019" w14:textId="79A10EA0" w:rsidR="00AB63DB" w:rsidRPr="000A01D2" w:rsidRDefault="009A54F0" w:rsidP="009A54F0">
            <w:pPr>
              <w:spacing w:line="480" w:lineRule="auto"/>
              <w:rPr>
                <w:sz w:val="24"/>
                <w:szCs w:val="24"/>
                <w:lang w:val="es-ES"/>
              </w:rPr>
            </w:pPr>
            <w:r>
              <w:rPr>
                <w:sz w:val="24"/>
                <w:szCs w:val="24"/>
                <w:lang w:val="es-ES"/>
              </w:rPr>
              <w:t>Finalmente, la C</w:t>
            </w:r>
            <w:r w:rsidR="00AB63DB" w:rsidRPr="000A01D2">
              <w:rPr>
                <w:sz w:val="24"/>
                <w:szCs w:val="24"/>
                <w:lang w:val="es-ES"/>
              </w:rPr>
              <w:t xml:space="preserve">orte concluye manifestando que la regla jurisprudencial identificable, es que, las AFP deben suministrar </w:t>
            </w:r>
            <w:r w:rsidR="00AB63DB" w:rsidRPr="000A01D2">
              <w:rPr>
                <w:sz w:val="24"/>
                <w:szCs w:val="24"/>
                <w:lang w:val="es-ES"/>
              </w:rPr>
              <w:lastRenderedPageBreak/>
              <w:t>al afiliado información clara, cierta, comprensible y oportuna de las características, condiciones, beneficios, diferencias, riesgos y consecuencias del cambio de régimen pensional y, además que en estos procesos opera una inversión de la carga de la prueba a favor del afi</w:t>
            </w:r>
            <w:r w:rsidR="003F75EF" w:rsidRPr="000A01D2">
              <w:rPr>
                <w:sz w:val="24"/>
                <w:szCs w:val="24"/>
                <w:lang w:val="es-ES"/>
              </w:rPr>
              <w:t xml:space="preserve">liado, </w:t>
            </w:r>
            <w:r w:rsidR="00AB63DB" w:rsidRPr="000A01D2">
              <w:rPr>
                <w:sz w:val="24"/>
                <w:szCs w:val="24"/>
                <w:lang w:val="es-ES"/>
              </w:rPr>
              <w:t xml:space="preserve">lo </w:t>
            </w:r>
            <w:r w:rsidR="003F75EF" w:rsidRPr="000A01D2">
              <w:rPr>
                <w:sz w:val="24"/>
                <w:szCs w:val="24"/>
                <w:lang w:val="es-ES"/>
              </w:rPr>
              <w:t xml:space="preserve">cual </w:t>
            </w:r>
            <w:r w:rsidR="00AB63DB" w:rsidRPr="000A01D2">
              <w:rPr>
                <w:sz w:val="24"/>
                <w:szCs w:val="24"/>
                <w:lang w:val="es-ES"/>
              </w:rPr>
              <w:t>se repite sin importar si se tiene o no un derecho consolidado,</w:t>
            </w:r>
            <w:r w:rsidR="003F75EF" w:rsidRPr="000A01D2">
              <w:rPr>
                <w:sz w:val="24"/>
                <w:szCs w:val="24"/>
                <w:lang w:val="es-ES"/>
              </w:rPr>
              <w:t xml:space="preserve"> o</w:t>
            </w:r>
            <w:r w:rsidR="00AB63DB" w:rsidRPr="000A01D2">
              <w:rPr>
                <w:sz w:val="24"/>
                <w:szCs w:val="24"/>
                <w:lang w:val="es-ES"/>
              </w:rPr>
              <w:t xml:space="preserve"> </w:t>
            </w:r>
            <w:r w:rsidR="003F75EF" w:rsidRPr="000A01D2">
              <w:rPr>
                <w:sz w:val="24"/>
                <w:szCs w:val="24"/>
                <w:lang w:val="es-ES"/>
              </w:rPr>
              <w:t xml:space="preserve">si </w:t>
            </w:r>
            <w:r w:rsidR="00AB63DB" w:rsidRPr="000A01D2">
              <w:rPr>
                <w:sz w:val="24"/>
                <w:szCs w:val="24"/>
                <w:lang w:val="es-ES"/>
              </w:rPr>
              <w:t>se tiene o no un beneficio transicional, o si est</w:t>
            </w:r>
            <w:r w:rsidR="003F75EF" w:rsidRPr="000A01D2">
              <w:rPr>
                <w:sz w:val="24"/>
                <w:szCs w:val="24"/>
                <w:lang w:val="es-ES"/>
              </w:rPr>
              <w:t>á</w:t>
            </w:r>
            <w:r w:rsidR="00AB63DB" w:rsidRPr="000A01D2">
              <w:rPr>
                <w:sz w:val="24"/>
                <w:szCs w:val="24"/>
                <w:lang w:val="es-ES"/>
              </w:rPr>
              <w:t xml:space="preserve"> próximo o no a pensionarse</w:t>
            </w:r>
            <w:r w:rsidR="003F75EF" w:rsidRPr="000A01D2">
              <w:rPr>
                <w:sz w:val="24"/>
                <w:szCs w:val="24"/>
                <w:lang w:val="es-ES"/>
              </w:rPr>
              <w:t>;</w:t>
            </w:r>
            <w:r w:rsidR="00AB63DB" w:rsidRPr="000A01D2">
              <w:rPr>
                <w:sz w:val="24"/>
                <w:szCs w:val="24"/>
                <w:lang w:val="es-ES"/>
              </w:rPr>
              <w:t xml:space="preserve"> dado que la violación del deber de información se predica frente a la validez del acto jurídico de traslado, considerado en si mismo pero siempre y cuando se tenga en cuenta las particularidades de cada asunto. </w:t>
            </w:r>
          </w:p>
        </w:tc>
      </w:tr>
    </w:tbl>
    <w:p w14:paraId="19FD80ED" w14:textId="77777777" w:rsidR="00016E63" w:rsidRDefault="00016E63" w:rsidP="000F35A0">
      <w:pPr>
        <w:spacing w:line="360" w:lineRule="auto"/>
      </w:pPr>
    </w:p>
    <w:p w14:paraId="787BAC8F" w14:textId="77777777" w:rsidR="00A8717D" w:rsidRDefault="00A8717D" w:rsidP="000F35A0">
      <w:pPr>
        <w:spacing w:line="360" w:lineRule="auto"/>
      </w:pPr>
    </w:p>
    <w:tbl>
      <w:tblPr>
        <w:tblStyle w:val="Tablaconcuadrcula"/>
        <w:tblpPr w:leftFromText="141" w:rightFromText="141" w:vertAnchor="text" w:horzAnchor="margin" w:tblpXSpec="center" w:tblpY="67"/>
        <w:tblW w:w="0" w:type="auto"/>
        <w:tblBorders>
          <w:top w:val="none" w:sz="0" w:space="0" w:color="auto"/>
          <w:left w:val="none" w:sz="0" w:space="0" w:color="auto"/>
          <w:bottom w:val="none" w:sz="0" w:space="0" w:color="auto"/>
          <w:right w:val="none" w:sz="0" w:space="0" w:color="auto"/>
          <w:insideV w:val="none" w:sz="0" w:space="0" w:color="auto"/>
        </w:tblBorders>
        <w:shd w:val="clear" w:color="auto" w:fill="FFFFFF" w:themeFill="background1"/>
        <w:tblLook w:val="04A0" w:firstRow="1" w:lastRow="0" w:firstColumn="1" w:lastColumn="0" w:noHBand="0" w:noVBand="1"/>
      </w:tblPr>
      <w:tblGrid>
        <w:gridCol w:w="2137"/>
        <w:gridCol w:w="6349"/>
      </w:tblGrid>
      <w:tr w:rsidR="00932CDB" w:rsidRPr="00C97613" w14:paraId="68CAB5CF" w14:textId="77777777" w:rsidTr="009A54F0">
        <w:trPr>
          <w:trHeight w:val="841"/>
        </w:trPr>
        <w:tc>
          <w:tcPr>
            <w:tcW w:w="0" w:type="auto"/>
            <w:gridSpan w:val="2"/>
            <w:shd w:val="clear" w:color="auto" w:fill="FFFFFF" w:themeFill="background1"/>
          </w:tcPr>
          <w:p w14:paraId="1DA9E971" w14:textId="1A6D5FCE" w:rsidR="00932CDB" w:rsidRDefault="00932CDB" w:rsidP="003F6831">
            <w:pPr>
              <w:spacing w:line="480" w:lineRule="auto"/>
              <w:rPr>
                <w:sz w:val="24"/>
              </w:rPr>
            </w:pPr>
            <w:r>
              <w:rPr>
                <w:sz w:val="24"/>
              </w:rPr>
              <w:t>Tabla 5</w:t>
            </w:r>
          </w:p>
          <w:p w14:paraId="7DD17D8E" w14:textId="71012DD0" w:rsidR="00932CDB" w:rsidRPr="00932CDB" w:rsidRDefault="00932CDB" w:rsidP="003F6831">
            <w:pPr>
              <w:spacing w:line="480" w:lineRule="auto"/>
              <w:rPr>
                <w:i/>
                <w:sz w:val="24"/>
              </w:rPr>
            </w:pPr>
            <w:r>
              <w:rPr>
                <w:i/>
                <w:sz w:val="24"/>
              </w:rPr>
              <w:t>Sentencia SL1688-2019</w:t>
            </w:r>
          </w:p>
        </w:tc>
      </w:tr>
      <w:tr w:rsidR="00187E52" w:rsidRPr="00C97613" w14:paraId="0438CA13" w14:textId="77777777" w:rsidTr="009A54F0">
        <w:trPr>
          <w:trHeight w:val="841"/>
        </w:trPr>
        <w:tc>
          <w:tcPr>
            <w:tcW w:w="0" w:type="auto"/>
            <w:shd w:val="clear" w:color="auto" w:fill="FFFFFF" w:themeFill="background1"/>
            <w:hideMark/>
          </w:tcPr>
          <w:p w14:paraId="569BB736" w14:textId="77777777" w:rsidR="00187E52" w:rsidRPr="00C97613" w:rsidRDefault="00187E52" w:rsidP="003F6831">
            <w:pPr>
              <w:spacing w:line="480" w:lineRule="auto"/>
              <w:rPr>
                <w:b/>
                <w:sz w:val="24"/>
                <w:szCs w:val="24"/>
              </w:rPr>
            </w:pPr>
            <w:r w:rsidRPr="00C97613">
              <w:rPr>
                <w:b/>
                <w:sz w:val="24"/>
                <w:szCs w:val="24"/>
              </w:rPr>
              <w:t>Identificación</w:t>
            </w:r>
          </w:p>
        </w:tc>
        <w:tc>
          <w:tcPr>
            <w:tcW w:w="0" w:type="auto"/>
            <w:shd w:val="clear" w:color="auto" w:fill="FFFFFF" w:themeFill="background1"/>
          </w:tcPr>
          <w:p w14:paraId="0E44E603" w14:textId="70305919" w:rsidR="00187E52" w:rsidRPr="000A01D2" w:rsidRDefault="00187E52" w:rsidP="002D5DEF">
            <w:pPr>
              <w:spacing w:line="480" w:lineRule="auto"/>
              <w:rPr>
                <w:rFonts w:eastAsia="Times New Roman"/>
                <w:sz w:val="24"/>
                <w:szCs w:val="24"/>
                <w:lang w:val="es-ES_tradnl" w:eastAsia="es-ES"/>
              </w:rPr>
            </w:pPr>
            <w:r w:rsidRPr="000A01D2">
              <w:rPr>
                <w:sz w:val="24"/>
                <w:szCs w:val="24"/>
              </w:rPr>
              <w:t xml:space="preserve">Corte Suprema de Justicia – Sala Laboral Radicado </w:t>
            </w:r>
            <w:r w:rsidRPr="000A01D2">
              <w:rPr>
                <w:rFonts w:eastAsia="Times New Roman"/>
                <w:sz w:val="24"/>
                <w:szCs w:val="24"/>
                <w:lang w:val="es-ES_tradnl" w:eastAsia="es-ES"/>
              </w:rPr>
              <w:t xml:space="preserve"> SL1688-2019</w:t>
            </w:r>
            <w:r w:rsidR="002D5DEF">
              <w:rPr>
                <w:rFonts w:eastAsia="Times New Roman"/>
                <w:sz w:val="24"/>
                <w:szCs w:val="24"/>
                <w:lang w:val="es-ES_tradnl" w:eastAsia="es-ES"/>
              </w:rPr>
              <w:t xml:space="preserve">, </w:t>
            </w:r>
            <w:r w:rsidRPr="000A01D2">
              <w:rPr>
                <w:rFonts w:eastAsia="Times New Roman"/>
                <w:sz w:val="24"/>
                <w:szCs w:val="24"/>
                <w:lang w:val="es-ES_tradnl" w:eastAsia="es-ES"/>
              </w:rPr>
              <w:t>Radicación N.° 68838 del 8 de mayo del 2019</w:t>
            </w:r>
          </w:p>
        </w:tc>
      </w:tr>
      <w:tr w:rsidR="00187E52" w:rsidRPr="00C97613" w14:paraId="0A6AF4A1" w14:textId="77777777" w:rsidTr="009A54F0">
        <w:tc>
          <w:tcPr>
            <w:tcW w:w="0" w:type="auto"/>
            <w:shd w:val="clear" w:color="auto" w:fill="FFFFFF" w:themeFill="background1"/>
            <w:hideMark/>
          </w:tcPr>
          <w:p w14:paraId="11ACEB3C" w14:textId="77777777" w:rsidR="00187E52" w:rsidRPr="00C97613" w:rsidRDefault="00187E52" w:rsidP="003F6831">
            <w:pPr>
              <w:spacing w:line="480" w:lineRule="auto"/>
              <w:rPr>
                <w:b/>
                <w:sz w:val="24"/>
                <w:szCs w:val="24"/>
              </w:rPr>
            </w:pPr>
            <w:r w:rsidRPr="00C97613">
              <w:rPr>
                <w:b/>
                <w:sz w:val="24"/>
                <w:szCs w:val="24"/>
              </w:rPr>
              <w:t>Magistrado ponente</w:t>
            </w:r>
          </w:p>
        </w:tc>
        <w:tc>
          <w:tcPr>
            <w:tcW w:w="0" w:type="auto"/>
            <w:shd w:val="clear" w:color="auto" w:fill="FFFFFF" w:themeFill="background1"/>
          </w:tcPr>
          <w:p w14:paraId="31C91658" w14:textId="25F3132F" w:rsidR="00187E52" w:rsidRPr="00C97613" w:rsidRDefault="000A01D2" w:rsidP="003F6831">
            <w:pPr>
              <w:spacing w:line="480" w:lineRule="auto"/>
              <w:rPr>
                <w:sz w:val="24"/>
                <w:szCs w:val="24"/>
              </w:rPr>
            </w:pPr>
            <w:r w:rsidRPr="00C97613">
              <w:rPr>
                <w:sz w:val="24"/>
                <w:szCs w:val="24"/>
              </w:rPr>
              <w:t>Clara Cecilia Dueñas Quevedo</w:t>
            </w:r>
          </w:p>
        </w:tc>
      </w:tr>
      <w:tr w:rsidR="00187E52" w:rsidRPr="00C97613" w14:paraId="5A62993B" w14:textId="77777777" w:rsidTr="009A54F0">
        <w:tc>
          <w:tcPr>
            <w:tcW w:w="0" w:type="auto"/>
            <w:shd w:val="clear" w:color="auto" w:fill="FFFFFF" w:themeFill="background1"/>
            <w:hideMark/>
          </w:tcPr>
          <w:p w14:paraId="443782FB" w14:textId="77777777" w:rsidR="00187E52" w:rsidRPr="00C97613" w:rsidRDefault="00187E52" w:rsidP="003F6831">
            <w:pPr>
              <w:spacing w:line="480" w:lineRule="auto"/>
              <w:rPr>
                <w:b/>
                <w:sz w:val="24"/>
                <w:szCs w:val="24"/>
              </w:rPr>
            </w:pPr>
            <w:r w:rsidRPr="00C97613">
              <w:rPr>
                <w:b/>
                <w:sz w:val="24"/>
                <w:szCs w:val="24"/>
              </w:rPr>
              <w:t>Partes</w:t>
            </w:r>
          </w:p>
        </w:tc>
        <w:tc>
          <w:tcPr>
            <w:tcW w:w="0" w:type="auto"/>
            <w:shd w:val="clear" w:color="auto" w:fill="FFFFFF" w:themeFill="background1"/>
          </w:tcPr>
          <w:p w14:paraId="20A89D65" w14:textId="219325F5" w:rsidR="00187E52" w:rsidRPr="00C97613" w:rsidRDefault="000A01D2" w:rsidP="003F6831">
            <w:pPr>
              <w:spacing w:line="480" w:lineRule="auto"/>
              <w:rPr>
                <w:rFonts w:eastAsia="Times New Roman"/>
                <w:sz w:val="24"/>
                <w:szCs w:val="24"/>
                <w:lang w:val="es-ES_tradnl" w:eastAsia="es-ES"/>
              </w:rPr>
            </w:pPr>
            <w:r w:rsidRPr="00C97613">
              <w:rPr>
                <w:b/>
                <w:sz w:val="24"/>
                <w:szCs w:val="24"/>
              </w:rPr>
              <w:t xml:space="preserve">Demandante: </w:t>
            </w:r>
            <w:r w:rsidRPr="00C97613">
              <w:rPr>
                <w:sz w:val="24"/>
                <w:szCs w:val="24"/>
              </w:rPr>
              <w:t>Miryam Arroyave Henao</w:t>
            </w:r>
          </w:p>
          <w:p w14:paraId="7FAAE6BB" w14:textId="534671B4" w:rsidR="00187E52" w:rsidRPr="00C97613" w:rsidRDefault="000A01D2" w:rsidP="003F6831">
            <w:pPr>
              <w:spacing w:line="480" w:lineRule="auto"/>
              <w:rPr>
                <w:sz w:val="24"/>
                <w:szCs w:val="24"/>
              </w:rPr>
            </w:pPr>
            <w:r w:rsidRPr="00C97613">
              <w:rPr>
                <w:b/>
                <w:sz w:val="24"/>
                <w:szCs w:val="24"/>
              </w:rPr>
              <w:t xml:space="preserve">Demandado: </w:t>
            </w:r>
            <w:r w:rsidRPr="007F1395">
              <w:rPr>
                <w:sz w:val="24"/>
                <w:szCs w:val="24"/>
              </w:rPr>
              <w:t>COLPENSIONES Y Protección S.A</w:t>
            </w:r>
            <w:r w:rsidR="00B94147">
              <w:rPr>
                <w:sz w:val="24"/>
                <w:szCs w:val="24"/>
              </w:rPr>
              <w:t>.</w:t>
            </w:r>
          </w:p>
        </w:tc>
      </w:tr>
      <w:tr w:rsidR="00187E52" w:rsidRPr="00C97613" w14:paraId="293A2FF7" w14:textId="77777777" w:rsidTr="009A54F0">
        <w:tc>
          <w:tcPr>
            <w:tcW w:w="0" w:type="auto"/>
            <w:shd w:val="clear" w:color="auto" w:fill="FFFFFF" w:themeFill="background1"/>
          </w:tcPr>
          <w:p w14:paraId="139D4BAC" w14:textId="77777777" w:rsidR="00187E52" w:rsidRPr="00C97613" w:rsidRDefault="00187E52" w:rsidP="003F6831">
            <w:pPr>
              <w:spacing w:line="480" w:lineRule="auto"/>
              <w:rPr>
                <w:b/>
                <w:sz w:val="24"/>
                <w:szCs w:val="24"/>
              </w:rPr>
            </w:pPr>
            <w:r w:rsidRPr="00C97613">
              <w:rPr>
                <w:b/>
                <w:sz w:val="24"/>
                <w:szCs w:val="24"/>
              </w:rPr>
              <w:t>Temas</w:t>
            </w:r>
          </w:p>
        </w:tc>
        <w:tc>
          <w:tcPr>
            <w:tcW w:w="0" w:type="auto"/>
            <w:shd w:val="clear" w:color="auto" w:fill="FFFFFF" w:themeFill="background1"/>
          </w:tcPr>
          <w:p w14:paraId="146CB3CB" w14:textId="7C8B7DBD" w:rsidR="00187E52" w:rsidRPr="00C97613" w:rsidRDefault="00187E52" w:rsidP="003F6831">
            <w:pPr>
              <w:spacing w:line="480" w:lineRule="auto"/>
              <w:rPr>
                <w:sz w:val="24"/>
                <w:szCs w:val="24"/>
              </w:rPr>
            </w:pPr>
            <w:r w:rsidRPr="00C97613">
              <w:rPr>
                <w:sz w:val="24"/>
                <w:szCs w:val="24"/>
              </w:rPr>
              <w:t>Ineficacia de traslado, perjuicios, pensión de vejez, intereses moratorios, indexación</w:t>
            </w:r>
            <w:r w:rsidR="0039151D">
              <w:rPr>
                <w:sz w:val="24"/>
                <w:szCs w:val="24"/>
              </w:rPr>
              <w:t xml:space="preserve"> </w:t>
            </w:r>
            <w:r w:rsidRPr="00C97613">
              <w:rPr>
                <w:sz w:val="24"/>
                <w:szCs w:val="24"/>
              </w:rPr>
              <w:t xml:space="preserve">y costas. </w:t>
            </w:r>
          </w:p>
        </w:tc>
      </w:tr>
      <w:tr w:rsidR="00187E52" w:rsidRPr="00C97613" w14:paraId="773D20F9" w14:textId="77777777" w:rsidTr="009A54F0">
        <w:tc>
          <w:tcPr>
            <w:tcW w:w="0" w:type="auto"/>
            <w:shd w:val="clear" w:color="auto" w:fill="FFFFFF" w:themeFill="background1"/>
            <w:hideMark/>
          </w:tcPr>
          <w:p w14:paraId="384ED991" w14:textId="3F28C079" w:rsidR="00187E52" w:rsidRPr="00C97613" w:rsidRDefault="003F6831" w:rsidP="003F6831">
            <w:pPr>
              <w:spacing w:line="480" w:lineRule="auto"/>
              <w:rPr>
                <w:b/>
                <w:sz w:val="24"/>
                <w:szCs w:val="24"/>
              </w:rPr>
            </w:pPr>
            <w:r>
              <w:rPr>
                <w:b/>
                <w:sz w:val="24"/>
                <w:szCs w:val="24"/>
              </w:rPr>
              <w:lastRenderedPageBreak/>
              <w:t>Hechos jurídicamente relevantes</w:t>
            </w:r>
          </w:p>
        </w:tc>
        <w:tc>
          <w:tcPr>
            <w:tcW w:w="0" w:type="auto"/>
            <w:shd w:val="clear" w:color="auto" w:fill="FFFFFF" w:themeFill="background1"/>
          </w:tcPr>
          <w:p w14:paraId="6BE83D12" w14:textId="2B6AC95C" w:rsidR="00187E52" w:rsidRPr="00C97613" w:rsidRDefault="00187E52" w:rsidP="003F6831">
            <w:pPr>
              <w:spacing w:line="480" w:lineRule="auto"/>
              <w:rPr>
                <w:sz w:val="24"/>
                <w:szCs w:val="24"/>
              </w:rPr>
            </w:pPr>
            <w:r w:rsidRPr="00C97613">
              <w:rPr>
                <w:sz w:val="24"/>
                <w:szCs w:val="24"/>
              </w:rPr>
              <w:t>El demandante pretende: Ineficacia de traslado del RPM al RAIS, beneficiaria del régimen de transición</w:t>
            </w:r>
            <w:r w:rsidR="00B94147">
              <w:rPr>
                <w:sz w:val="24"/>
                <w:szCs w:val="24"/>
              </w:rPr>
              <w:t xml:space="preserve">, </w:t>
            </w:r>
            <w:r w:rsidRPr="00C97613">
              <w:rPr>
                <w:sz w:val="24"/>
                <w:szCs w:val="24"/>
              </w:rPr>
              <w:t>pago de perjuicios, traslado de régimen, pensión de vejez, intereses moratorios, indexación y costas.</w:t>
            </w:r>
          </w:p>
          <w:p w14:paraId="477BD034" w14:textId="3ABB8A97" w:rsidR="00187E52" w:rsidRPr="00C97613" w:rsidRDefault="00187E52" w:rsidP="003F6831">
            <w:pPr>
              <w:spacing w:line="480" w:lineRule="auto"/>
              <w:rPr>
                <w:sz w:val="24"/>
                <w:szCs w:val="24"/>
              </w:rPr>
            </w:pPr>
            <w:r w:rsidRPr="00C97613">
              <w:rPr>
                <w:sz w:val="24"/>
                <w:szCs w:val="24"/>
              </w:rPr>
              <w:t>Afirma  que nació el 7 de julio de 1956, solicitó pensión de vejez a colpensiones, la cual fue negada, porque, perdió el régimen de transición por el traslado al RAIS y que Colpensiones no advirtió que el 14 de enero de 2004 retornó al RPM dentro del plazo de gracia concedido en la ley 797 de 2003 para la recuperación del beneficio transicional. Que PROTECCIÓN S.A</w:t>
            </w:r>
            <w:r w:rsidR="009E7A91">
              <w:rPr>
                <w:sz w:val="24"/>
                <w:szCs w:val="24"/>
              </w:rPr>
              <w:t>.</w:t>
            </w:r>
            <w:r w:rsidRPr="00C97613">
              <w:rPr>
                <w:sz w:val="24"/>
                <w:szCs w:val="24"/>
              </w:rPr>
              <w:t xml:space="preserve"> al momento de la afiliaci</w:t>
            </w:r>
            <w:r w:rsidR="009E7A91">
              <w:rPr>
                <w:sz w:val="24"/>
                <w:szCs w:val="24"/>
              </w:rPr>
              <w:t>ó</w:t>
            </w:r>
            <w:r w:rsidRPr="00C97613">
              <w:rPr>
                <w:sz w:val="24"/>
                <w:szCs w:val="24"/>
              </w:rPr>
              <w:t xml:space="preserve">n la indujo a error al omitir informarle el capital que se requería en su cuenta individual para acceder a una pensión anticipada. Que tiene derecho a la pensión de vejez en aplicación al régimen de transición. </w:t>
            </w:r>
          </w:p>
          <w:p w14:paraId="73EF2DAF" w14:textId="496C7C49" w:rsidR="00187E52" w:rsidRPr="00C97613" w:rsidRDefault="00187E52" w:rsidP="003F6831">
            <w:pPr>
              <w:spacing w:line="480" w:lineRule="auto"/>
              <w:rPr>
                <w:sz w:val="24"/>
                <w:szCs w:val="24"/>
              </w:rPr>
            </w:pPr>
            <w:r w:rsidRPr="00C97613">
              <w:rPr>
                <w:sz w:val="24"/>
                <w:szCs w:val="24"/>
              </w:rPr>
              <w:t>PROTECCIÓN S.A</w:t>
            </w:r>
            <w:r w:rsidR="009E7A91">
              <w:rPr>
                <w:sz w:val="24"/>
                <w:szCs w:val="24"/>
              </w:rPr>
              <w:t>.</w:t>
            </w:r>
            <w:r w:rsidRPr="00C97613">
              <w:rPr>
                <w:sz w:val="24"/>
                <w:szCs w:val="24"/>
              </w:rPr>
              <w:t xml:space="preserve"> se opusó a las pretensiones y propuso las excepciones de: los asesores se encuentran plenamente capacitados con el fin de brindar una debida asesoría a sus posibles afiliado</w:t>
            </w:r>
            <w:r w:rsidR="009E7A91">
              <w:rPr>
                <w:sz w:val="24"/>
                <w:szCs w:val="24"/>
              </w:rPr>
              <w:t>s</w:t>
            </w:r>
            <w:r w:rsidRPr="00C97613">
              <w:rPr>
                <w:sz w:val="24"/>
                <w:szCs w:val="24"/>
              </w:rPr>
              <w:t>, no existió vicio en el consentimiento al firmar su afiliación a PROTECCIÓN S.A</w:t>
            </w:r>
            <w:r w:rsidR="009E7A91">
              <w:rPr>
                <w:sz w:val="24"/>
                <w:szCs w:val="24"/>
              </w:rPr>
              <w:t>.</w:t>
            </w:r>
            <w:r w:rsidRPr="00C97613">
              <w:rPr>
                <w:sz w:val="24"/>
                <w:szCs w:val="24"/>
              </w:rPr>
              <w:t xml:space="preserve">, saneamiento de la nulidad relativa alegada por la demandante, libertad en la selección del régimen, cumplimiento de obligación de trasladar todos los aportes realizados a Colpensiones, obligación a cargo </w:t>
            </w:r>
            <w:r w:rsidRPr="00C97613">
              <w:rPr>
                <w:sz w:val="24"/>
                <w:szCs w:val="24"/>
              </w:rPr>
              <w:lastRenderedPageBreak/>
              <w:t xml:space="preserve">exclusivamente de un tercero, inexistencia de la obligación, buena fé, compensación, prescripción y la genérica. </w:t>
            </w:r>
          </w:p>
          <w:p w14:paraId="39B887C3" w14:textId="6401931F" w:rsidR="00187E52" w:rsidRPr="00C97613" w:rsidRDefault="00187E52" w:rsidP="003F6831">
            <w:pPr>
              <w:spacing w:line="480" w:lineRule="auto"/>
              <w:rPr>
                <w:sz w:val="24"/>
                <w:szCs w:val="24"/>
              </w:rPr>
            </w:pPr>
            <w:r w:rsidRPr="00C97613">
              <w:rPr>
                <w:sz w:val="24"/>
                <w:szCs w:val="24"/>
              </w:rPr>
              <w:t>COLPENSIONES se opuso a las pretensiones y propuso como excepciones: inexistencia de causa legal para pedir, compensación, prescripción, buena fé, imposibilidad de condena en costas, inescindibilidad de la norma e</w:t>
            </w:r>
            <w:r w:rsidR="009E7A91">
              <w:rPr>
                <w:sz w:val="24"/>
                <w:szCs w:val="24"/>
              </w:rPr>
              <w:t xml:space="preserve"> </w:t>
            </w:r>
            <w:r w:rsidRPr="00C97613">
              <w:rPr>
                <w:sz w:val="24"/>
                <w:szCs w:val="24"/>
              </w:rPr>
              <w:t xml:space="preserve">improcedencia de la </w:t>
            </w:r>
            <w:r w:rsidR="009E7A91" w:rsidRPr="00C97613">
              <w:rPr>
                <w:sz w:val="24"/>
                <w:szCs w:val="24"/>
              </w:rPr>
              <w:t>indexación</w:t>
            </w:r>
            <w:r w:rsidRPr="00C97613">
              <w:rPr>
                <w:sz w:val="24"/>
                <w:szCs w:val="24"/>
              </w:rPr>
              <w:t xml:space="preserve"> de las condenas. </w:t>
            </w:r>
          </w:p>
        </w:tc>
      </w:tr>
      <w:tr w:rsidR="00187E52" w:rsidRPr="00C97613" w14:paraId="6372C145" w14:textId="77777777" w:rsidTr="009A54F0">
        <w:tc>
          <w:tcPr>
            <w:tcW w:w="0" w:type="auto"/>
            <w:shd w:val="clear" w:color="auto" w:fill="FFFFFF" w:themeFill="background1"/>
          </w:tcPr>
          <w:p w14:paraId="7F26E830" w14:textId="1339624B" w:rsidR="00187E52" w:rsidRPr="00C97613" w:rsidRDefault="00187E52" w:rsidP="002D5DEF">
            <w:pPr>
              <w:spacing w:line="480" w:lineRule="auto"/>
              <w:rPr>
                <w:b/>
                <w:sz w:val="24"/>
                <w:szCs w:val="24"/>
              </w:rPr>
            </w:pPr>
            <w:r w:rsidRPr="00C97613">
              <w:rPr>
                <w:b/>
                <w:sz w:val="24"/>
                <w:szCs w:val="24"/>
              </w:rPr>
              <w:lastRenderedPageBreak/>
              <w:t xml:space="preserve">Decisiones </w:t>
            </w:r>
            <w:r w:rsidR="002D5DEF">
              <w:rPr>
                <w:b/>
                <w:sz w:val="24"/>
                <w:szCs w:val="24"/>
              </w:rPr>
              <w:t>de</w:t>
            </w:r>
            <w:r w:rsidRPr="00C97613">
              <w:rPr>
                <w:b/>
                <w:sz w:val="24"/>
                <w:szCs w:val="24"/>
              </w:rPr>
              <w:t xml:space="preserve"> instancia</w:t>
            </w:r>
          </w:p>
        </w:tc>
        <w:tc>
          <w:tcPr>
            <w:tcW w:w="0" w:type="auto"/>
            <w:shd w:val="clear" w:color="auto" w:fill="FFFFFF" w:themeFill="background1"/>
          </w:tcPr>
          <w:p w14:paraId="12A683D5" w14:textId="498B21E0" w:rsidR="00187E52" w:rsidRPr="00C97613" w:rsidRDefault="002D5DEF" w:rsidP="003F6831">
            <w:pPr>
              <w:spacing w:line="480" w:lineRule="auto"/>
              <w:rPr>
                <w:bCs/>
                <w:iCs/>
                <w:sz w:val="24"/>
                <w:szCs w:val="24"/>
              </w:rPr>
            </w:pPr>
            <w:r w:rsidRPr="002D5DEF">
              <w:rPr>
                <w:b/>
                <w:bCs/>
                <w:iCs/>
                <w:sz w:val="24"/>
                <w:szCs w:val="24"/>
              </w:rPr>
              <w:t>Primera Instancia:</w:t>
            </w:r>
            <w:r w:rsidRPr="00C97613">
              <w:rPr>
                <w:bCs/>
                <w:iCs/>
                <w:sz w:val="24"/>
                <w:szCs w:val="24"/>
              </w:rPr>
              <w:t xml:space="preserve"> </w:t>
            </w:r>
            <w:r>
              <w:rPr>
                <w:bCs/>
                <w:iCs/>
                <w:sz w:val="24"/>
                <w:szCs w:val="24"/>
              </w:rPr>
              <w:t>El J</w:t>
            </w:r>
            <w:r w:rsidR="00187E52" w:rsidRPr="00C97613">
              <w:rPr>
                <w:bCs/>
                <w:iCs/>
                <w:sz w:val="24"/>
                <w:szCs w:val="24"/>
              </w:rPr>
              <w:t xml:space="preserve">uzgado </w:t>
            </w:r>
            <w:r>
              <w:rPr>
                <w:bCs/>
                <w:iCs/>
                <w:sz w:val="24"/>
                <w:szCs w:val="24"/>
              </w:rPr>
              <w:t>T</w:t>
            </w:r>
            <w:r w:rsidR="00187E52" w:rsidRPr="00C97613">
              <w:rPr>
                <w:bCs/>
                <w:iCs/>
                <w:sz w:val="24"/>
                <w:szCs w:val="24"/>
              </w:rPr>
              <w:t xml:space="preserve">ercero Laboral del Circuito de Medellín ABSOLVIÓ a las demandadas </w:t>
            </w:r>
          </w:p>
          <w:p w14:paraId="6D1F43A3" w14:textId="2B333BF8" w:rsidR="00187E52" w:rsidRPr="00C97613" w:rsidRDefault="002D5DEF" w:rsidP="002D5DEF">
            <w:pPr>
              <w:spacing w:line="480" w:lineRule="auto"/>
              <w:rPr>
                <w:bCs/>
                <w:iCs/>
                <w:sz w:val="24"/>
                <w:szCs w:val="24"/>
              </w:rPr>
            </w:pPr>
            <w:r w:rsidRPr="002D5DEF">
              <w:rPr>
                <w:b/>
                <w:bCs/>
                <w:iCs/>
                <w:sz w:val="24"/>
                <w:szCs w:val="24"/>
              </w:rPr>
              <w:t>Segunda Instancia:</w:t>
            </w:r>
            <w:r w:rsidRPr="002D5DEF">
              <w:rPr>
                <w:bCs/>
                <w:iCs/>
                <w:sz w:val="24"/>
                <w:szCs w:val="24"/>
              </w:rPr>
              <w:t xml:space="preserve"> </w:t>
            </w:r>
            <w:r>
              <w:rPr>
                <w:bCs/>
                <w:iCs/>
                <w:sz w:val="24"/>
                <w:szCs w:val="24"/>
              </w:rPr>
              <w:t xml:space="preserve">El </w:t>
            </w:r>
            <w:r w:rsidR="00187E52" w:rsidRPr="00C97613">
              <w:rPr>
                <w:bCs/>
                <w:iCs/>
                <w:sz w:val="24"/>
                <w:szCs w:val="24"/>
              </w:rPr>
              <w:t xml:space="preserve">Tribunal Superior de Medellín </w:t>
            </w:r>
            <w:r>
              <w:rPr>
                <w:bCs/>
                <w:iCs/>
                <w:sz w:val="24"/>
                <w:szCs w:val="24"/>
              </w:rPr>
              <w:t>CONFIRMÓ la sentencia del a quo.</w:t>
            </w:r>
          </w:p>
        </w:tc>
      </w:tr>
      <w:tr w:rsidR="00187E52" w:rsidRPr="00C97613" w14:paraId="086E3D5E" w14:textId="77777777" w:rsidTr="009A54F0">
        <w:tc>
          <w:tcPr>
            <w:tcW w:w="0" w:type="auto"/>
            <w:shd w:val="clear" w:color="auto" w:fill="FFFFFF" w:themeFill="background1"/>
          </w:tcPr>
          <w:p w14:paraId="446D540D" w14:textId="77777777" w:rsidR="00187E52" w:rsidRPr="00C97613" w:rsidRDefault="00187E52" w:rsidP="003F6831">
            <w:pPr>
              <w:spacing w:line="480" w:lineRule="auto"/>
              <w:rPr>
                <w:b/>
                <w:sz w:val="24"/>
                <w:szCs w:val="24"/>
              </w:rPr>
            </w:pPr>
            <w:r w:rsidRPr="00C97613">
              <w:rPr>
                <w:b/>
                <w:sz w:val="24"/>
                <w:szCs w:val="24"/>
              </w:rPr>
              <w:t>Recurso de casación</w:t>
            </w:r>
          </w:p>
        </w:tc>
        <w:tc>
          <w:tcPr>
            <w:tcW w:w="0" w:type="auto"/>
            <w:shd w:val="clear" w:color="auto" w:fill="FFFFFF" w:themeFill="background1"/>
          </w:tcPr>
          <w:p w14:paraId="313E4459" w14:textId="77777777" w:rsidR="00187E52" w:rsidRPr="00C97613" w:rsidRDefault="00187E52" w:rsidP="003F6831">
            <w:pPr>
              <w:spacing w:line="480" w:lineRule="auto"/>
              <w:rPr>
                <w:bCs/>
                <w:iCs/>
                <w:sz w:val="24"/>
                <w:szCs w:val="24"/>
              </w:rPr>
            </w:pPr>
            <w:r w:rsidRPr="00C97613">
              <w:rPr>
                <w:bCs/>
                <w:iCs/>
                <w:sz w:val="24"/>
                <w:szCs w:val="24"/>
              </w:rPr>
              <w:t xml:space="preserve">La demandante pretende que se case la sentencia, que se revoque la decisión y se acceda a las prensiones de la demanda. </w:t>
            </w:r>
          </w:p>
          <w:p w14:paraId="3CD0EB11" w14:textId="77CAA4FE" w:rsidR="00187E52" w:rsidRPr="00C97613" w:rsidRDefault="00187E52" w:rsidP="003F6831">
            <w:pPr>
              <w:spacing w:line="480" w:lineRule="auto"/>
              <w:rPr>
                <w:bCs/>
                <w:iCs/>
                <w:sz w:val="24"/>
                <w:szCs w:val="24"/>
              </w:rPr>
            </w:pPr>
            <w:r w:rsidRPr="00C97613">
              <w:rPr>
                <w:bCs/>
                <w:iCs/>
                <w:sz w:val="24"/>
                <w:szCs w:val="24"/>
              </w:rPr>
              <w:t>Acusa que la sentencia es violatoria de la ley por vía indirecta</w:t>
            </w:r>
            <w:r w:rsidR="009E7A91">
              <w:rPr>
                <w:bCs/>
                <w:iCs/>
                <w:sz w:val="24"/>
                <w:szCs w:val="24"/>
              </w:rPr>
              <w:t>;</w:t>
            </w:r>
            <w:r w:rsidRPr="00C97613">
              <w:rPr>
                <w:bCs/>
                <w:iCs/>
                <w:sz w:val="24"/>
                <w:szCs w:val="24"/>
              </w:rPr>
              <w:t xml:space="preserve"> denuncia y en infracción directa del artículo 271, ley 100 de 1993; aplicación indebida de los artículos 1604, 1610,1740, 1741, 1742, 1743 y 1750 del C.C; 174, 177 y 197 del C.P.C; 145 del CPT; 4, 14, 15 del decreto 656 de 1994; 1, 2, 3, 11, 12, 13, 36, 50, 76, 90, 97, 141, 142, 271 de la ley 100 de 1993 y el 3 de la ley 1382 de 2009. </w:t>
            </w:r>
          </w:p>
          <w:p w14:paraId="35D6B1C2" w14:textId="3428A78D" w:rsidR="00187E52" w:rsidRPr="00C97613" w:rsidRDefault="00187E52" w:rsidP="003F6831">
            <w:pPr>
              <w:spacing w:line="480" w:lineRule="auto"/>
              <w:rPr>
                <w:bCs/>
                <w:iCs/>
                <w:sz w:val="24"/>
                <w:szCs w:val="24"/>
              </w:rPr>
            </w:pPr>
            <w:r w:rsidRPr="00C97613">
              <w:rPr>
                <w:bCs/>
                <w:iCs/>
                <w:sz w:val="24"/>
                <w:szCs w:val="24"/>
              </w:rPr>
              <w:t>Colpensiones y la AFP PROTECCIÓN S.A</w:t>
            </w:r>
            <w:r w:rsidR="009E7A91">
              <w:rPr>
                <w:bCs/>
                <w:iCs/>
                <w:sz w:val="24"/>
                <w:szCs w:val="24"/>
              </w:rPr>
              <w:t>.</w:t>
            </w:r>
            <w:r w:rsidRPr="00C97613">
              <w:rPr>
                <w:bCs/>
                <w:iCs/>
                <w:sz w:val="24"/>
                <w:szCs w:val="24"/>
              </w:rPr>
              <w:t xml:space="preserve">,  se oponen a la prosperidad de los cargos. </w:t>
            </w:r>
          </w:p>
        </w:tc>
      </w:tr>
      <w:tr w:rsidR="00187E52" w:rsidRPr="00C97613" w14:paraId="58F78D21" w14:textId="77777777" w:rsidTr="009A54F0">
        <w:tc>
          <w:tcPr>
            <w:tcW w:w="0" w:type="auto"/>
            <w:shd w:val="clear" w:color="auto" w:fill="FFFFFF" w:themeFill="background1"/>
            <w:hideMark/>
          </w:tcPr>
          <w:p w14:paraId="3B97DB3E" w14:textId="77777777" w:rsidR="00A8717D" w:rsidRDefault="00A8717D" w:rsidP="002D5DEF">
            <w:pPr>
              <w:spacing w:line="480" w:lineRule="auto"/>
              <w:rPr>
                <w:b/>
                <w:sz w:val="24"/>
                <w:szCs w:val="24"/>
              </w:rPr>
            </w:pPr>
          </w:p>
          <w:p w14:paraId="0834E31E" w14:textId="14D6E64C" w:rsidR="00187E52" w:rsidRPr="00C97613" w:rsidRDefault="00187E52" w:rsidP="002D5DEF">
            <w:pPr>
              <w:spacing w:line="480" w:lineRule="auto"/>
              <w:rPr>
                <w:b/>
                <w:sz w:val="24"/>
                <w:szCs w:val="24"/>
              </w:rPr>
            </w:pPr>
            <w:r w:rsidRPr="00C97613">
              <w:rPr>
                <w:b/>
                <w:sz w:val="24"/>
                <w:szCs w:val="24"/>
              </w:rPr>
              <w:lastRenderedPageBreak/>
              <w:t xml:space="preserve">Decisión de </w:t>
            </w:r>
            <w:r w:rsidR="002D5DEF">
              <w:rPr>
                <w:b/>
                <w:sz w:val="24"/>
                <w:szCs w:val="24"/>
              </w:rPr>
              <w:t>casación</w:t>
            </w:r>
          </w:p>
        </w:tc>
        <w:tc>
          <w:tcPr>
            <w:tcW w:w="0" w:type="auto"/>
            <w:shd w:val="clear" w:color="auto" w:fill="FFFFFF" w:themeFill="background1"/>
          </w:tcPr>
          <w:p w14:paraId="0B326D79" w14:textId="77777777" w:rsidR="0059472F" w:rsidRDefault="0059472F" w:rsidP="002D5DEF">
            <w:pPr>
              <w:spacing w:line="480" w:lineRule="auto"/>
              <w:rPr>
                <w:bCs/>
                <w:iCs/>
                <w:sz w:val="24"/>
                <w:szCs w:val="24"/>
              </w:rPr>
            </w:pPr>
          </w:p>
          <w:p w14:paraId="6FF9B091" w14:textId="41863A5E" w:rsidR="00187E52" w:rsidRPr="00C97613" w:rsidRDefault="002D5DEF" w:rsidP="002D5DEF">
            <w:pPr>
              <w:spacing w:line="480" w:lineRule="auto"/>
              <w:rPr>
                <w:b/>
                <w:bCs/>
                <w:iCs/>
                <w:sz w:val="24"/>
                <w:szCs w:val="24"/>
              </w:rPr>
            </w:pPr>
            <w:r w:rsidRPr="002D5DEF">
              <w:rPr>
                <w:bCs/>
                <w:iCs/>
                <w:sz w:val="24"/>
                <w:szCs w:val="24"/>
              </w:rPr>
              <w:lastRenderedPageBreak/>
              <w:t xml:space="preserve">CASA totalmente </w:t>
            </w:r>
            <w:r>
              <w:rPr>
                <w:bCs/>
                <w:iCs/>
                <w:sz w:val="24"/>
                <w:szCs w:val="24"/>
              </w:rPr>
              <w:t xml:space="preserve">la sentencia del </w:t>
            </w:r>
            <w:r w:rsidRPr="00C97613">
              <w:rPr>
                <w:bCs/>
                <w:iCs/>
                <w:sz w:val="24"/>
                <w:szCs w:val="24"/>
              </w:rPr>
              <w:t>Tribunal Superior de Medellín</w:t>
            </w:r>
            <w:r>
              <w:rPr>
                <w:bCs/>
                <w:iCs/>
                <w:sz w:val="24"/>
                <w:szCs w:val="24"/>
              </w:rPr>
              <w:t xml:space="preserve"> y REVOCA PARCIALMENTE la sentencia del  J</w:t>
            </w:r>
            <w:r w:rsidRPr="00C97613">
              <w:rPr>
                <w:bCs/>
                <w:iCs/>
                <w:sz w:val="24"/>
                <w:szCs w:val="24"/>
              </w:rPr>
              <w:t xml:space="preserve">uzgado </w:t>
            </w:r>
            <w:r>
              <w:rPr>
                <w:bCs/>
                <w:iCs/>
                <w:sz w:val="24"/>
                <w:szCs w:val="24"/>
              </w:rPr>
              <w:t>T</w:t>
            </w:r>
            <w:r w:rsidRPr="00C97613">
              <w:rPr>
                <w:bCs/>
                <w:iCs/>
                <w:sz w:val="24"/>
                <w:szCs w:val="24"/>
              </w:rPr>
              <w:t>ercero Laboral del Circuito</w:t>
            </w:r>
            <w:r>
              <w:rPr>
                <w:bCs/>
                <w:iCs/>
                <w:sz w:val="24"/>
                <w:szCs w:val="24"/>
              </w:rPr>
              <w:t>.</w:t>
            </w:r>
          </w:p>
        </w:tc>
      </w:tr>
      <w:tr w:rsidR="00A00240" w:rsidRPr="00C97613" w14:paraId="336BDDBE" w14:textId="77777777" w:rsidTr="009A54F0">
        <w:tc>
          <w:tcPr>
            <w:tcW w:w="0" w:type="auto"/>
            <w:tcBorders>
              <w:bottom w:val="single" w:sz="4" w:space="0" w:color="auto"/>
            </w:tcBorders>
            <w:shd w:val="clear" w:color="auto" w:fill="FFFFFF" w:themeFill="background1"/>
          </w:tcPr>
          <w:p w14:paraId="15C89701" w14:textId="7E4D94F0" w:rsidR="00A00240" w:rsidRPr="00A00240" w:rsidRDefault="00A00240" w:rsidP="003F6831">
            <w:pPr>
              <w:spacing w:line="480" w:lineRule="auto"/>
              <w:rPr>
                <w:b/>
                <w:sz w:val="24"/>
              </w:rPr>
            </w:pPr>
            <w:r w:rsidRPr="00A00240">
              <w:rPr>
                <w:b/>
                <w:sz w:val="24"/>
              </w:rPr>
              <w:lastRenderedPageBreak/>
              <w:t>Problema jurídico</w:t>
            </w:r>
          </w:p>
        </w:tc>
        <w:tc>
          <w:tcPr>
            <w:tcW w:w="0" w:type="auto"/>
            <w:tcBorders>
              <w:bottom w:val="single" w:sz="4" w:space="0" w:color="auto"/>
            </w:tcBorders>
            <w:shd w:val="clear" w:color="auto" w:fill="FFFFFF" w:themeFill="background1"/>
          </w:tcPr>
          <w:p w14:paraId="4B55BE21" w14:textId="47C09739" w:rsidR="00A00240" w:rsidRPr="00A00240" w:rsidRDefault="00A00240" w:rsidP="00A00240">
            <w:pPr>
              <w:spacing w:line="480" w:lineRule="auto"/>
              <w:rPr>
                <w:sz w:val="24"/>
                <w:szCs w:val="24"/>
                <w:lang w:val="es-ES"/>
              </w:rPr>
            </w:pPr>
            <w:r>
              <w:rPr>
                <w:sz w:val="24"/>
                <w:szCs w:val="24"/>
                <w:lang w:val="es-ES"/>
              </w:rPr>
              <w:t xml:space="preserve">Deberá determinarse: </w:t>
            </w:r>
            <w:r w:rsidRPr="00C97613">
              <w:rPr>
                <w:sz w:val="24"/>
                <w:szCs w:val="24"/>
                <w:lang w:val="es-ES"/>
              </w:rPr>
              <w:t>1) desde cu</w:t>
            </w:r>
            <w:r w:rsidR="009E7A91">
              <w:rPr>
                <w:sz w:val="24"/>
                <w:szCs w:val="24"/>
                <w:lang w:val="es-ES"/>
              </w:rPr>
              <w:t>á</w:t>
            </w:r>
            <w:r w:rsidRPr="00C97613">
              <w:rPr>
                <w:sz w:val="24"/>
                <w:szCs w:val="24"/>
                <w:lang w:val="es-ES"/>
              </w:rPr>
              <w:t xml:space="preserve">ndo existe el deber de información y asesoría a cargo de las AFP; 2) </w:t>
            </w:r>
            <w:r>
              <w:rPr>
                <w:sz w:val="24"/>
                <w:szCs w:val="24"/>
                <w:lang w:val="es-ES"/>
              </w:rPr>
              <w:t xml:space="preserve">si </w:t>
            </w:r>
            <w:r w:rsidRPr="00C97613">
              <w:rPr>
                <w:sz w:val="24"/>
                <w:szCs w:val="24"/>
                <w:lang w:val="es-ES"/>
              </w:rPr>
              <w:t>es suficiente diligenciar el formato de afiliación para dar por cumplido ese deber; 3) qui</w:t>
            </w:r>
            <w:r w:rsidR="009E7A91">
              <w:rPr>
                <w:sz w:val="24"/>
                <w:szCs w:val="24"/>
                <w:lang w:val="es-ES"/>
              </w:rPr>
              <w:t>é</w:t>
            </w:r>
            <w:r w:rsidRPr="00C97613">
              <w:rPr>
                <w:sz w:val="24"/>
                <w:szCs w:val="24"/>
                <w:lang w:val="es-ES"/>
              </w:rPr>
              <w:t>n tiene la carga de la prueba; 4)</w:t>
            </w:r>
            <w:r>
              <w:rPr>
                <w:sz w:val="24"/>
                <w:szCs w:val="24"/>
                <w:lang w:val="es-ES"/>
              </w:rPr>
              <w:t xml:space="preserve"> si</w:t>
            </w:r>
            <w:r w:rsidRPr="00C97613">
              <w:rPr>
                <w:sz w:val="24"/>
                <w:szCs w:val="24"/>
                <w:lang w:val="es-ES"/>
              </w:rPr>
              <w:t xml:space="preserve"> la jurisprudencia elaborada por la Corte en torno a la nulidad de afiliación solo tiene cabida cuando el afiliado tiene cumpl</w:t>
            </w:r>
            <w:r>
              <w:rPr>
                <w:sz w:val="24"/>
                <w:szCs w:val="24"/>
                <w:lang w:val="es-ES"/>
              </w:rPr>
              <w:t>idos los requisitos pensionales.</w:t>
            </w:r>
          </w:p>
        </w:tc>
      </w:tr>
      <w:tr w:rsidR="00187E52" w:rsidRPr="00C97613" w14:paraId="47689518" w14:textId="77777777" w:rsidTr="009A54F0">
        <w:tc>
          <w:tcPr>
            <w:tcW w:w="0" w:type="auto"/>
            <w:tcBorders>
              <w:top w:val="single" w:sz="4" w:space="0" w:color="auto"/>
              <w:bottom w:val="single" w:sz="4" w:space="0" w:color="auto"/>
            </w:tcBorders>
            <w:shd w:val="clear" w:color="auto" w:fill="FFFFFF" w:themeFill="background1"/>
          </w:tcPr>
          <w:p w14:paraId="2BEE1EE7" w14:textId="77777777" w:rsidR="00187E52" w:rsidRPr="00C97613" w:rsidRDefault="00187E52" w:rsidP="003F6831">
            <w:pPr>
              <w:spacing w:line="480" w:lineRule="auto"/>
              <w:rPr>
                <w:b/>
                <w:sz w:val="24"/>
                <w:szCs w:val="24"/>
              </w:rPr>
            </w:pPr>
            <w:r w:rsidRPr="00C97613">
              <w:rPr>
                <w:b/>
                <w:sz w:val="24"/>
                <w:szCs w:val="24"/>
              </w:rPr>
              <w:t xml:space="preserve">Consideraciones </w:t>
            </w:r>
          </w:p>
        </w:tc>
        <w:tc>
          <w:tcPr>
            <w:tcW w:w="0" w:type="auto"/>
            <w:tcBorders>
              <w:top w:val="single" w:sz="4" w:space="0" w:color="auto"/>
              <w:bottom w:val="single" w:sz="4" w:space="0" w:color="auto"/>
            </w:tcBorders>
            <w:shd w:val="clear" w:color="auto" w:fill="FFFFFF" w:themeFill="background1"/>
          </w:tcPr>
          <w:p w14:paraId="4F431009" w14:textId="2B75FB4F" w:rsidR="00187E52" w:rsidRPr="00C97613" w:rsidRDefault="00A00240" w:rsidP="003F6831">
            <w:pPr>
              <w:spacing w:line="480" w:lineRule="auto"/>
              <w:rPr>
                <w:sz w:val="24"/>
                <w:szCs w:val="24"/>
                <w:lang w:val="es-ES"/>
              </w:rPr>
            </w:pPr>
            <w:r>
              <w:rPr>
                <w:sz w:val="24"/>
                <w:szCs w:val="24"/>
                <w:lang w:val="es-ES"/>
              </w:rPr>
              <w:t xml:space="preserve">La Corte reitera </w:t>
            </w:r>
            <w:r w:rsidR="00187E52" w:rsidRPr="00C97613">
              <w:rPr>
                <w:sz w:val="24"/>
                <w:szCs w:val="24"/>
                <w:lang w:val="es-ES"/>
              </w:rPr>
              <w:t>la evolución normativa del deber de información concluye</w:t>
            </w:r>
            <w:r>
              <w:rPr>
                <w:sz w:val="24"/>
                <w:szCs w:val="24"/>
                <w:lang w:val="es-ES"/>
              </w:rPr>
              <w:t>ndo que las AFP</w:t>
            </w:r>
            <w:r w:rsidR="00187E52" w:rsidRPr="00C97613">
              <w:rPr>
                <w:sz w:val="24"/>
                <w:szCs w:val="24"/>
                <w:lang w:val="es-ES"/>
              </w:rPr>
              <w:t xml:space="preserve"> desde su creación tenían el deber de brindar información a los afiliados o usuarios del sistema pensional a fin de que estos pudiesen adoptar una decisión consciente y realmente libre sobre su futuro pensional y que con el pasar del tiempo, el grado de intensidad de esa exigencia cambi</w:t>
            </w:r>
            <w:r w:rsidR="009E7A91">
              <w:rPr>
                <w:sz w:val="24"/>
                <w:szCs w:val="24"/>
                <w:lang w:val="es-ES"/>
              </w:rPr>
              <w:t>ó</w:t>
            </w:r>
            <w:r w:rsidR="00187E52" w:rsidRPr="00C97613">
              <w:rPr>
                <w:sz w:val="24"/>
                <w:szCs w:val="24"/>
                <w:lang w:val="es-ES"/>
              </w:rPr>
              <w:t xml:space="preserve"> para acumular m</w:t>
            </w:r>
            <w:r w:rsidR="009E7A91">
              <w:rPr>
                <w:sz w:val="24"/>
                <w:szCs w:val="24"/>
                <w:lang w:val="es-ES"/>
              </w:rPr>
              <w:t>á</w:t>
            </w:r>
            <w:r w:rsidR="00187E52" w:rsidRPr="00C97613">
              <w:rPr>
                <w:sz w:val="24"/>
                <w:szCs w:val="24"/>
                <w:lang w:val="es-ES"/>
              </w:rPr>
              <w:t xml:space="preserve">s obligaciones, pasando de un deber de información necesaria al de asesoría y buen consejo y finalmente al de doble asesoría, por lo que, implica la necesidad de que los jueces evalúen el cumplimiento del deber de información de acuerdo con el momento histórico en que debía cumplirse. </w:t>
            </w:r>
          </w:p>
          <w:p w14:paraId="03857FEE" w14:textId="0AA2C9C7" w:rsidR="00187E52" w:rsidRPr="00C97613" w:rsidRDefault="00187E52" w:rsidP="00A00240">
            <w:pPr>
              <w:spacing w:line="480" w:lineRule="auto"/>
              <w:rPr>
                <w:sz w:val="24"/>
                <w:szCs w:val="24"/>
                <w:lang w:val="es-ES"/>
              </w:rPr>
            </w:pPr>
            <w:r w:rsidRPr="00C97613">
              <w:rPr>
                <w:sz w:val="24"/>
                <w:szCs w:val="24"/>
                <w:lang w:val="es-ES"/>
              </w:rPr>
              <w:t xml:space="preserve">De otro lado, la Corte </w:t>
            </w:r>
            <w:r w:rsidR="00A00240">
              <w:rPr>
                <w:sz w:val="24"/>
                <w:szCs w:val="24"/>
                <w:lang w:val="es-ES"/>
              </w:rPr>
              <w:t>reitera</w:t>
            </w:r>
            <w:r w:rsidRPr="00C97613">
              <w:rPr>
                <w:sz w:val="24"/>
                <w:szCs w:val="24"/>
                <w:lang w:val="es-ES"/>
              </w:rPr>
              <w:t xml:space="preserve"> que el simple consentimiento </w:t>
            </w:r>
            <w:r w:rsidRPr="00C97613">
              <w:rPr>
                <w:sz w:val="24"/>
                <w:szCs w:val="24"/>
                <w:lang w:val="es-ES"/>
              </w:rPr>
              <w:lastRenderedPageBreak/>
              <w:t>vertido en el formulario de afiliación o las afirmaciones o leyendas consignadas en formatos preimpresos de los fondos de pensiones es insuficiente, por lo que</w:t>
            </w:r>
            <w:r w:rsidR="00A00240">
              <w:rPr>
                <w:sz w:val="24"/>
                <w:szCs w:val="24"/>
                <w:lang w:val="es-ES"/>
              </w:rPr>
              <w:t xml:space="preserve"> existe la necesidad de que </w:t>
            </w:r>
            <w:r w:rsidRPr="00C97613">
              <w:rPr>
                <w:sz w:val="24"/>
                <w:szCs w:val="24"/>
                <w:lang w:val="es-ES"/>
              </w:rPr>
              <w:t>el consentimiento sea informado</w:t>
            </w:r>
            <w:r w:rsidR="00A00240">
              <w:rPr>
                <w:sz w:val="24"/>
                <w:szCs w:val="24"/>
                <w:lang w:val="es-ES"/>
              </w:rPr>
              <w:t>.</w:t>
            </w:r>
          </w:p>
          <w:p w14:paraId="43042F50" w14:textId="4AABE0ED" w:rsidR="00187E52" w:rsidRPr="00C97613" w:rsidRDefault="00A00240" w:rsidP="00A00240">
            <w:pPr>
              <w:spacing w:line="480" w:lineRule="auto"/>
              <w:rPr>
                <w:sz w:val="24"/>
                <w:szCs w:val="24"/>
                <w:lang w:val="es-ES"/>
              </w:rPr>
            </w:pPr>
            <w:r>
              <w:rPr>
                <w:sz w:val="24"/>
                <w:szCs w:val="24"/>
                <w:lang w:val="es-ES"/>
              </w:rPr>
              <w:t xml:space="preserve">Luego, la Corte reitera </w:t>
            </w:r>
            <w:r w:rsidR="00187E52" w:rsidRPr="00C97613">
              <w:rPr>
                <w:sz w:val="24"/>
                <w:szCs w:val="24"/>
                <w:lang w:val="es-ES"/>
              </w:rPr>
              <w:t>la inversión de la carga de la prueba a favor del afiliado</w:t>
            </w:r>
            <w:r>
              <w:rPr>
                <w:sz w:val="24"/>
                <w:szCs w:val="24"/>
                <w:lang w:val="es-ES"/>
              </w:rPr>
              <w:t>, por lo que la</w:t>
            </w:r>
            <w:r w:rsidR="00187E52" w:rsidRPr="00C97613">
              <w:rPr>
                <w:sz w:val="24"/>
                <w:szCs w:val="24"/>
                <w:lang w:val="es-ES"/>
              </w:rPr>
              <w:t xml:space="preserve"> AFP debe acreditar que suministró la asesoría en forma correcta. </w:t>
            </w:r>
          </w:p>
          <w:p w14:paraId="391A7751" w14:textId="4DB2BF91" w:rsidR="00187E52" w:rsidRPr="00C97613" w:rsidRDefault="009A54F0" w:rsidP="003F6831">
            <w:pPr>
              <w:spacing w:line="480" w:lineRule="auto"/>
              <w:rPr>
                <w:sz w:val="24"/>
                <w:szCs w:val="24"/>
                <w:lang w:val="es-ES"/>
              </w:rPr>
            </w:pPr>
            <w:r>
              <w:rPr>
                <w:sz w:val="24"/>
                <w:szCs w:val="24"/>
                <w:lang w:val="es-ES"/>
              </w:rPr>
              <w:t>Posteriormente,</w:t>
            </w:r>
            <w:r w:rsidR="00187E52" w:rsidRPr="00C97613">
              <w:rPr>
                <w:sz w:val="24"/>
                <w:szCs w:val="24"/>
                <w:lang w:val="es-ES"/>
              </w:rPr>
              <w:t xml:space="preserve"> </w:t>
            </w:r>
            <w:r>
              <w:rPr>
                <w:sz w:val="24"/>
                <w:szCs w:val="24"/>
                <w:lang w:val="es-ES"/>
              </w:rPr>
              <w:t>se analiza</w:t>
            </w:r>
            <w:r w:rsidR="00187E52" w:rsidRPr="00C97613">
              <w:rPr>
                <w:sz w:val="24"/>
                <w:szCs w:val="24"/>
                <w:lang w:val="es-ES"/>
              </w:rPr>
              <w:t xml:space="preserve"> alcance de la jurisprudencia de la corporación en torno a la ineficacia del traslado y concluye que no es necesario estar ad portas de causar el derecho o tener un derecho causado, ya que</w:t>
            </w:r>
            <w:r w:rsidR="009E7A91">
              <w:rPr>
                <w:sz w:val="24"/>
                <w:szCs w:val="24"/>
                <w:lang w:val="es-ES"/>
              </w:rPr>
              <w:t>,</w:t>
            </w:r>
            <w:r w:rsidR="00187E52" w:rsidRPr="00C97613">
              <w:rPr>
                <w:sz w:val="24"/>
                <w:szCs w:val="24"/>
                <w:lang w:val="es-ES"/>
              </w:rPr>
              <w:t xml:space="preserve"> ni la legislación, ni la jurisprudencia</w:t>
            </w:r>
            <w:r w:rsidR="009E7A91">
              <w:rPr>
                <w:sz w:val="24"/>
                <w:szCs w:val="24"/>
                <w:lang w:val="es-ES"/>
              </w:rPr>
              <w:t>,</w:t>
            </w:r>
            <w:r w:rsidR="00187E52" w:rsidRPr="00C97613">
              <w:rPr>
                <w:sz w:val="24"/>
                <w:szCs w:val="24"/>
                <w:lang w:val="es-ES"/>
              </w:rPr>
              <w:t xml:space="preserve"> tiene</w:t>
            </w:r>
            <w:r w:rsidR="009E7A91">
              <w:rPr>
                <w:sz w:val="24"/>
                <w:szCs w:val="24"/>
                <w:lang w:val="es-ES"/>
              </w:rPr>
              <w:t>n</w:t>
            </w:r>
            <w:r w:rsidR="00187E52" w:rsidRPr="00C97613">
              <w:rPr>
                <w:sz w:val="24"/>
                <w:szCs w:val="24"/>
                <w:lang w:val="es-ES"/>
              </w:rPr>
              <w:t xml:space="preserve"> establecido que se debe contar con una suerte de expectativa pensional o derecho causado para que proceda la ineficacia del traslado a una AFP por incumplimiento del deber de información. </w:t>
            </w:r>
          </w:p>
          <w:p w14:paraId="23DC5A6B" w14:textId="5D6C05E6" w:rsidR="00187E52" w:rsidRPr="00C97613" w:rsidRDefault="007A69A6" w:rsidP="003F6831">
            <w:pPr>
              <w:spacing w:line="480" w:lineRule="auto"/>
              <w:rPr>
                <w:sz w:val="24"/>
                <w:szCs w:val="24"/>
                <w:lang w:val="es-ES"/>
              </w:rPr>
            </w:pPr>
            <w:r>
              <w:rPr>
                <w:sz w:val="24"/>
                <w:szCs w:val="24"/>
                <w:lang w:val="es-ES"/>
              </w:rPr>
              <w:t>Luego,</w:t>
            </w:r>
            <w:r w:rsidR="00A00240">
              <w:rPr>
                <w:sz w:val="24"/>
                <w:szCs w:val="24"/>
                <w:lang w:val="es-ES"/>
              </w:rPr>
              <w:t xml:space="preserve"> la C</w:t>
            </w:r>
            <w:r w:rsidR="00187E52" w:rsidRPr="00C97613">
              <w:rPr>
                <w:sz w:val="24"/>
                <w:szCs w:val="24"/>
                <w:lang w:val="es-ES"/>
              </w:rPr>
              <w:t>orte</w:t>
            </w:r>
            <w:r w:rsidR="00A00240">
              <w:rPr>
                <w:sz w:val="24"/>
                <w:szCs w:val="24"/>
                <w:lang w:val="es-ES"/>
              </w:rPr>
              <w:t xml:space="preserve"> reafirma </w:t>
            </w:r>
            <w:r w:rsidR="00187E52" w:rsidRPr="00C97613">
              <w:rPr>
                <w:sz w:val="24"/>
                <w:szCs w:val="24"/>
                <w:lang w:val="es-ES"/>
              </w:rPr>
              <w:t xml:space="preserve">que la regla jurisprudencial identificable, es que, las AFP deben suministrar al afiliado información clara, cierta, comprensible y oportuna de las características, condiciones, beneficios, diferencias, riesgos y consecuencias del cambio de régimen pensional y, además que en estos procesos opera una inversión de la carga de </w:t>
            </w:r>
            <w:r w:rsidR="00A00240">
              <w:rPr>
                <w:sz w:val="24"/>
                <w:szCs w:val="24"/>
                <w:lang w:val="es-ES"/>
              </w:rPr>
              <w:t xml:space="preserve">la prueba a favor del afiliado, </w:t>
            </w:r>
            <w:r w:rsidR="00D37612" w:rsidRPr="000A01D2">
              <w:rPr>
                <w:sz w:val="24"/>
                <w:szCs w:val="24"/>
                <w:lang w:val="es-ES"/>
              </w:rPr>
              <w:t xml:space="preserve">sin importar si se tiene o no un derecho consolidado, o si se tiene o no un beneficio transicional, o si </w:t>
            </w:r>
            <w:r w:rsidR="00D37612" w:rsidRPr="000A01D2">
              <w:rPr>
                <w:sz w:val="24"/>
                <w:szCs w:val="24"/>
                <w:lang w:val="es-ES"/>
              </w:rPr>
              <w:lastRenderedPageBreak/>
              <w:t xml:space="preserve">está próximo o no a pensionarse; </w:t>
            </w:r>
            <w:r w:rsidR="00187E52" w:rsidRPr="00C97613">
              <w:rPr>
                <w:sz w:val="24"/>
                <w:szCs w:val="24"/>
                <w:lang w:val="es-ES"/>
              </w:rPr>
              <w:t>dado que la violación del deber de información se predica frente a la validez del acto jurídico de traslado, considerado en s</w:t>
            </w:r>
            <w:r w:rsidR="009E7A91">
              <w:rPr>
                <w:sz w:val="24"/>
                <w:szCs w:val="24"/>
                <w:lang w:val="es-ES"/>
              </w:rPr>
              <w:t>í</w:t>
            </w:r>
            <w:r w:rsidR="00187E52" w:rsidRPr="00C97613">
              <w:rPr>
                <w:sz w:val="24"/>
                <w:szCs w:val="24"/>
                <w:lang w:val="es-ES"/>
              </w:rPr>
              <w:t xml:space="preserve"> mismo pero siempre y cuando se tenga</w:t>
            </w:r>
            <w:r w:rsidR="009E7A91">
              <w:rPr>
                <w:sz w:val="24"/>
                <w:szCs w:val="24"/>
                <w:lang w:val="es-ES"/>
              </w:rPr>
              <w:t>n</w:t>
            </w:r>
            <w:r w:rsidR="00187E52" w:rsidRPr="00C97613">
              <w:rPr>
                <w:sz w:val="24"/>
                <w:szCs w:val="24"/>
                <w:lang w:val="es-ES"/>
              </w:rPr>
              <w:t xml:space="preserve"> en cuenta las particularidades de cada asunto. </w:t>
            </w:r>
          </w:p>
          <w:p w14:paraId="1873100B" w14:textId="4888BC08" w:rsidR="00187E52" w:rsidRPr="00C97613" w:rsidRDefault="007A69A6" w:rsidP="003F6831">
            <w:pPr>
              <w:spacing w:line="480" w:lineRule="auto"/>
              <w:rPr>
                <w:sz w:val="24"/>
                <w:szCs w:val="24"/>
              </w:rPr>
            </w:pPr>
            <w:r>
              <w:rPr>
                <w:sz w:val="24"/>
                <w:szCs w:val="24"/>
                <w:lang w:val="es-ES"/>
              </w:rPr>
              <w:t xml:space="preserve">Por su parte, </w:t>
            </w:r>
            <w:r w:rsidRPr="00C97613">
              <w:rPr>
                <w:sz w:val="24"/>
                <w:szCs w:val="24"/>
              </w:rPr>
              <w:t xml:space="preserve"> </w:t>
            </w:r>
            <w:r>
              <w:rPr>
                <w:sz w:val="24"/>
                <w:szCs w:val="24"/>
              </w:rPr>
              <w:t>i</w:t>
            </w:r>
            <w:r w:rsidRPr="00C97613">
              <w:rPr>
                <w:sz w:val="24"/>
                <w:szCs w:val="24"/>
              </w:rPr>
              <w:t>ndica que la AFP además de la devolución de los aportes que la persona tenía en la cuenta de ahorro individual con sus rendimientos, debe devolver también los valores correspondientes a los gastos de administración, los cuales deberá asumir con cargo a sus propios recursos.</w:t>
            </w:r>
            <w:r>
              <w:rPr>
                <w:sz w:val="24"/>
                <w:szCs w:val="24"/>
              </w:rPr>
              <w:t xml:space="preserve"> </w:t>
            </w:r>
            <w:r w:rsidR="00187E52" w:rsidRPr="00C97613">
              <w:rPr>
                <w:sz w:val="24"/>
                <w:szCs w:val="24"/>
              </w:rPr>
              <w:t xml:space="preserve">En el caso en concreto ordena la devolución de dichos dineros, debidamente indexados. </w:t>
            </w:r>
          </w:p>
          <w:p w14:paraId="2A44C3FF" w14:textId="427653C7" w:rsidR="00187E52" w:rsidRPr="00C97613" w:rsidRDefault="009A54F0" w:rsidP="003F6831">
            <w:pPr>
              <w:spacing w:line="480" w:lineRule="auto"/>
              <w:rPr>
                <w:sz w:val="24"/>
                <w:szCs w:val="24"/>
              </w:rPr>
            </w:pPr>
            <w:r>
              <w:rPr>
                <w:sz w:val="24"/>
                <w:szCs w:val="24"/>
              </w:rPr>
              <w:t>Por su parte</w:t>
            </w:r>
            <w:r w:rsidR="007A69A6">
              <w:rPr>
                <w:sz w:val="24"/>
                <w:szCs w:val="24"/>
              </w:rPr>
              <w:t>, c</w:t>
            </w:r>
            <w:r w:rsidR="00187E52" w:rsidRPr="00C97613">
              <w:rPr>
                <w:sz w:val="24"/>
                <w:szCs w:val="24"/>
              </w:rPr>
              <w:t xml:space="preserve">onsidera que la ineficacia del traslado entre regímenes pensionales es imprescriptible, pues ha dicho de manera reiterada que las acciones encaminadas a que se compruebe la manera en que ocurrió un hecho o se reconozca un estado </w:t>
            </w:r>
            <w:r w:rsidR="007A69A6">
              <w:rPr>
                <w:sz w:val="24"/>
                <w:szCs w:val="24"/>
              </w:rPr>
              <w:t xml:space="preserve">jurídico </w:t>
            </w:r>
            <w:r w:rsidR="00187E52" w:rsidRPr="00C97613">
              <w:rPr>
                <w:sz w:val="24"/>
                <w:szCs w:val="24"/>
              </w:rPr>
              <w:t>son imprescriptibles</w:t>
            </w:r>
            <w:r w:rsidR="007A69A6">
              <w:rPr>
                <w:sz w:val="24"/>
                <w:szCs w:val="24"/>
              </w:rPr>
              <w:t>; además,</w:t>
            </w:r>
            <w:r w:rsidR="00187E52" w:rsidRPr="00C97613">
              <w:rPr>
                <w:sz w:val="24"/>
                <w:szCs w:val="24"/>
              </w:rPr>
              <w:t xml:space="preserve"> </w:t>
            </w:r>
            <w:r w:rsidR="007A69A6">
              <w:rPr>
                <w:sz w:val="24"/>
                <w:szCs w:val="24"/>
              </w:rPr>
              <w:t>d</w:t>
            </w:r>
            <w:r w:rsidR="00187E52" w:rsidRPr="00C97613">
              <w:rPr>
                <w:sz w:val="24"/>
                <w:szCs w:val="24"/>
              </w:rPr>
              <w:t>e conform</w:t>
            </w:r>
            <w:r w:rsidR="007A69A6">
              <w:rPr>
                <w:sz w:val="24"/>
                <w:szCs w:val="24"/>
              </w:rPr>
              <w:t>idad</w:t>
            </w:r>
            <w:r w:rsidR="00187E52" w:rsidRPr="00C97613">
              <w:rPr>
                <w:sz w:val="24"/>
                <w:szCs w:val="24"/>
              </w:rPr>
              <w:t xml:space="preserve"> al artículo 48 de la Constitución Política los derechos que nacen de la ineficacia de la afiliación tienen igual connotación</w:t>
            </w:r>
            <w:r>
              <w:rPr>
                <w:sz w:val="24"/>
                <w:szCs w:val="24"/>
              </w:rPr>
              <w:t xml:space="preserve"> de </w:t>
            </w:r>
            <w:r w:rsidR="00187E52" w:rsidRPr="00C97613">
              <w:rPr>
                <w:sz w:val="24"/>
                <w:szCs w:val="24"/>
              </w:rPr>
              <w:t xml:space="preserve">derecho subjetivo irrenunciable. </w:t>
            </w:r>
            <w:r>
              <w:rPr>
                <w:sz w:val="24"/>
                <w:szCs w:val="24"/>
              </w:rPr>
              <w:t xml:space="preserve">Sin embargo, </w:t>
            </w:r>
            <w:r w:rsidR="00187E52" w:rsidRPr="00C97613">
              <w:rPr>
                <w:sz w:val="24"/>
                <w:szCs w:val="24"/>
              </w:rPr>
              <w:t xml:space="preserve"> las mesadas pensionales no reclamadas dentro de los 3 años siguientes a su exigibilidad</w:t>
            </w:r>
            <w:r w:rsidR="009E7A91">
              <w:rPr>
                <w:sz w:val="24"/>
                <w:szCs w:val="24"/>
              </w:rPr>
              <w:t xml:space="preserve">, </w:t>
            </w:r>
            <w:r w:rsidR="00187E52" w:rsidRPr="00C97613">
              <w:rPr>
                <w:sz w:val="24"/>
                <w:szCs w:val="24"/>
              </w:rPr>
              <w:t>s</w:t>
            </w:r>
            <w:r w:rsidR="009E7A91">
              <w:rPr>
                <w:sz w:val="24"/>
                <w:szCs w:val="24"/>
              </w:rPr>
              <w:t>í</w:t>
            </w:r>
            <w:r w:rsidR="00187E52" w:rsidRPr="00C97613">
              <w:rPr>
                <w:sz w:val="24"/>
                <w:szCs w:val="24"/>
              </w:rPr>
              <w:t xml:space="preserve"> </w:t>
            </w:r>
            <w:r>
              <w:rPr>
                <w:sz w:val="24"/>
                <w:szCs w:val="24"/>
              </w:rPr>
              <w:t>prescriben.</w:t>
            </w:r>
          </w:p>
          <w:p w14:paraId="4CA740AA" w14:textId="53055507" w:rsidR="00187E52" w:rsidRPr="00C97613" w:rsidRDefault="009A54F0" w:rsidP="009A54F0">
            <w:pPr>
              <w:spacing w:line="480" w:lineRule="auto"/>
              <w:rPr>
                <w:color w:val="000000" w:themeColor="text1"/>
                <w:sz w:val="24"/>
                <w:szCs w:val="24"/>
              </w:rPr>
            </w:pPr>
            <w:r>
              <w:rPr>
                <w:sz w:val="24"/>
                <w:szCs w:val="24"/>
              </w:rPr>
              <w:t>Finalmente, se d</w:t>
            </w:r>
            <w:r w:rsidR="00187E52" w:rsidRPr="00C97613">
              <w:rPr>
                <w:sz w:val="24"/>
                <w:szCs w:val="24"/>
              </w:rPr>
              <w:t xml:space="preserve">eja </w:t>
            </w:r>
            <w:r>
              <w:rPr>
                <w:sz w:val="24"/>
                <w:szCs w:val="24"/>
              </w:rPr>
              <w:t xml:space="preserve">en </w:t>
            </w:r>
            <w:r w:rsidR="00187E52" w:rsidRPr="00C97613">
              <w:rPr>
                <w:sz w:val="24"/>
                <w:szCs w:val="24"/>
              </w:rPr>
              <w:t>claro que</w:t>
            </w:r>
            <w:r>
              <w:rPr>
                <w:sz w:val="24"/>
                <w:szCs w:val="24"/>
              </w:rPr>
              <w:t>,</w:t>
            </w:r>
            <w:r w:rsidR="00187E52" w:rsidRPr="00C97613">
              <w:rPr>
                <w:sz w:val="24"/>
                <w:szCs w:val="24"/>
              </w:rPr>
              <w:t xml:space="preserve"> según los artículos 271 y 272 de la ley 100 de 1993, la consecuencia de una afiliación </w:t>
            </w:r>
            <w:r w:rsidR="00187E52" w:rsidRPr="00C97613">
              <w:rPr>
                <w:sz w:val="24"/>
                <w:szCs w:val="24"/>
              </w:rPr>
              <w:lastRenderedPageBreak/>
              <w:t xml:space="preserve">desinformada es la ineficacia </w:t>
            </w:r>
            <w:r>
              <w:rPr>
                <w:sz w:val="24"/>
                <w:szCs w:val="24"/>
              </w:rPr>
              <w:t>de esta</w:t>
            </w:r>
            <w:r w:rsidR="00187E52" w:rsidRPr="00C97613">
              <w:rPr>
                <w:sz w:val="24"/>
                <w:szCs w:val="24"/>
              </w:rPr>
              <w:t xml:space="preserve"> y no el régimen de nulidades sustanciales</w:t>
            </w:r>
            <w:r w:rsidRPr="00C97613">
              <w:rPr>
                <w:sz w:val="24"/>
                <w:szCs w:val="24"/>
              </w:rPr>
              <w:t>,</w:t>
            </w:r>
            <w:r w:rsidR="00187E52" w:rsidRPr="00C97613">
              <w:rPr>
                <w:sz w:val="24"/>
                <w:szCs w:val="24"/>
              </w:rPr>
              <w:t xml:space="preserve"> por lo que no tiene que demostrar vicios del consentimiento. </w:t>
            </w:r>
            <w:r>
              <w:rPr>
                <w:sz w:val="24"/>
                <w:szCs w:val="24"/>
              </w:rPr>
              <w:t>L</w:t>
            </w:r>
            <w:r w:rsidR="00187E52" w:rsidRPr="00C97613">
              <w:rPr>
                <w:color w:val="000000" w:themeColor="text1"/>
                <w:sz w:val="24"/>
                <w:szCs w:val="24"/>
              </w:rPr>
              <w:t xml:space="preserve">a ineficacia </w:t>
            </w:r>
            <w:r>
              <w:rPr>
                <w:color w:val="000000" w:themeColor="text1"/>
                <w:sz w:val="24"/>
                <w:szCs w:val="24"/>
              </w:rPr>
              <w:t>e</w:t>
            </w:r>
            <w:r w:rsidR="00187E52" w:rsidRPr="00C97613">
              <w:rPr>
                <w:color w:val="000000" w:themeColor="text1"/>
                <w:sz w:val="24"/>
                <w:szCs w:val="24"/>
              </w:rPr>
              <w:t>s una reacción eficiente, pronta y severa frente a aquellos actos signados por los hechos que dan lugar a su configuración</w:t>
            </w:r>
            <w:r>
              <w:rPr>
                <w:color w:val="000000" w:themeColor="text1"/>
                <w:sz w:val="24"/>
                <w:szCs w:val="24"/>
              </w:rPr>
              <w:t>, además de que es</w:t>
            </w:r>
            <w:r w:rsidR="00187E52" w:rsidRPr="00C97613">
              <w:rPr>
                <w:color w:val="000000" w:themeColor="text1"/>
                <w:sz w:val="24"/>
                <w:szCs w:val="24"/>
              </w:rPr>
              <w:t xml:space="preserve"> insaneable </w:t>
            </w:r>
            <w:r>
              <w:rPr>
                <w:color w:val="000000" w:themeColor="text1"/>
                <w:sz w:val="24"/>
                <w:szCs w:val="24"/>
              </w:rPr>
              <w:t>puesto que se considera que el acto nunca produjo efectos.</w:t>
            </w:r>
            <w:r w:rsidR="00187E52" w:rsidRPr="00C97613">
              <w:rPr>
                <w:color w:val="000000" w:themeColor="text1"/>
                <w:sz w:val="24"/>
                <w:szCs w:val="24"/>
              </w:rPr>
              <w:t xml:space="preserve">    </w:t>
            </w:r>
          </w:p>
        </w:tc>
      </w:tr>
    </w:tbl>
    <w:p w14:paraId="5AA78B8A" w14:textId="77777777" w:rsidR="001D4A42" w:rsidRDefault="001D4A42" w:rsidP="00FB2509">
      <w:pPr>
        <w:spacing w:line="480" w:lineRule="auto"/>
      </w:pPr>
    </w:p>
    <w:p w14:paraId="289E7507" w14:textId="77777777" w:rsidR="0059472F" w:rsidRDefault="0059472F" w:rsidP="00FB2509">
      <w:pPr>
        <w:spacing w:line="480" w:lineRule="auto"/>
      </w:pPr>
    </w:p>
    <w:tbl>
      <w:tblPr>
        <w:tblStyle w:val="Tablaconcuadrcula"/>
        <w:tblpPr w:leftFromText="141" w:rightFromText="141" w:vertAnchor="text" w:horzAnchor="margin" w:tblpXSpec="center" w:tblpY="67"/>
        <w:tblW w:w="0" w:type="auto"/>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138"/>
        <w:gridCol w:w="6348"/>
      </w:tblGrid>
      <w:tr w:rsidR="009A54F0" w:rsidRPr="00764635" w14:paraId="2EAB7E2A" w14:textId="77777777" w:rsidTr="004E6BEA">
        <w:trPr>
          <w:trHeight w:val="841"/>
        </w:trPr>
        <w:tc>
          <w:tcPr>
            <w:tcW w:w="0" w:type="auto"/>
            <w:gridSpan w:val="2"/>
            <w:shd w:val="clear" w:color="auto" w:fill="FFFFFF" w:themeFill="background1"/>
          </w:tcPr>
          <w:p w14:paraId="142856B6" w14:textId="77777777" w:rsidR="009A54F0" w:rsidRPr="005E1ADA" w:rsidRDefault="009A54F0" w:rsidP="009A54F0">
            <w:pPr>
              <w:spacing w:line="480" w:lineRule="auto"/>
              <w:rPr>
                <w:sz w:val="24"/>
              </w:rPr>
            </w:pPr>
            <w:r w:rsidRPr="005E1ADA">
              <w:rPr>
                <w:sz w:val="24"/>
              </w:rPr>
              <w:t>Tabla 6</w:t>
            </w:r>
          </w:p>
          <w:p w14:paraId="6A93442E" w14:textId="77777777" w:rsidR="009A54F0" w:rsidRPr="00932CDB" w:rsidRDefault="009A54F0" w:rsidP="009A54F0">
            <w:pPr>
              <w:spacing w:line="480" w:lineRule="auto"/>
              <w:rPr>
                <w:i/>
              </w:rPr>
            </w:pPr>
            <w:r w:rsidRPr="005E1ADA">
              <w:rPr>
                <w:i/>
                <w:sz w:val="24"/>
              </w:rPr>
              <w:t>Sentencia SL4933-2019</w:t>
            </w:r>
          </w:p>
        </w:tc>
      </w:tr>
      <w:tr w:rsidR="009A54F0" w:rsidRPr="00764635" w14:paraId="08E5F502" w14:textId="77777777" w:rsidTr="004E6BEA">
        <w:trPr>
          <w:trHeight w:val="841"/>
        </w:trPr>
        <w:tc>
          <w:tcPr>
            <w:tcW w:w="0" w:type="auto"/>
            <w:shd w:val="clear" w:color="auto" w:fill="FFFFFF" w:themeFill="background1"/>
            <w:hideMark/>
          </w:tcPr>
          <w:p w14:paraId="0413E8DA" w14:textId="77777777" w:rsidR="009A54F0" w:rsidRPr="00764635" w:rsidRDefault="009A54F0" w:rsidP="009A54F0">
            <w:pPr>
              <w:spacing w:line="480" w:lineRule="auto"/>
              <w:rPr>
                <w:b/>
                <w:sz w:val="24"/>
                <w:szCs w:val="24"/>
              </w:rPr>
            </w:pPr>
            <w:r w:rsidRPr="00764635">
              <w:rPr>
                <w:b/>
                <w:sz w:val="24"/>
                <w:szCs w:val="24"/>
              </w:rPr>
              <w:t>Identificación</w:t>
            </w:r>
          </w:p>
        </w:tc>
        <w:tc>
          <w:tcPr>
            <w:tcW w:w="0" w:type="auto"/>
            <w:shd w:val="clear" w:color="auto" w:fill="FFFFFF" w:themeFill="background1"/>
          </w:tcPr>
          <w:p w14:paraId="36702FC9" w14:textId="5F785175" w:rsidR="009A54F0" w:rsidRPr="008851ED" w:rsidRDefault="009A54F0" w:rsidP="009A54F0">
            <w:pPr>
              <w:spacing w:line="480" w:lineRule="auto"/>
              <w:rPr>
                <w:rFonts w:eastAsia="Times New Roman"/>
                <w:b/>
                <w:sz w:val="24"/>
                <w:szCs w:val="24"/>
                <w:lang w:val="es-ES_tradnl" w:eastAsia="es-ES"/>
              </w:rPr>
            </w:pPr>
            <w:r w:rsidRPr="009A54F0">
              <w:rPr>
                <w:sz w:val="24"/>
                <w:szCs w:val="24"/>
              </w:rPr>
              <w:t xml:space="preserve">Corte Suprema de Justicia – Sala Laboral Radicado </w:t>
            </w:r>
            <w:r w:rsidRPr="009A54F0">
              <w:rPr>
                <w:rFonts w:eastAsia="Times New Roman"/>
                <w:sz w:val="24"/>
                <w:szCs w:val="24"/>
                <w:lang w:val="es-ES_tradnl" w:eastAsia="es-ES"/>
              </w:rPr>
              <w:t xml:space="preserve"> SL4933-2019</w:t>
            </w:r>
            <w:r>
              <w:rPr>
                <w:rFonts w:eastAsia="Times New Roman"/>
                <w:sz w:val="24"/>
                <w:szCs w:val="24"/>
                <w:lang w:val="es-ES_tradnl" w:eastAsia="es-ES"/>
              </w:rPr>
              <w:t xml:space="preserve">, </w:t>
            </w:r>
            <w:r w:rsidRPr="009A54F0">
              <w:rPr>
                <w:rFonts w:eastAsia="Times New Roman"/>
                <w:sz w:val="24"/>
                <w:szCs w:val="24"/>
                <w:lang w:val="es-ES_tradnl" w:eastAsia="es-ES"/>
              </w:rPr>
              <w:t>Radicación N.° 60350 del 30 de octubre del 2019</w:t>
            </w:r>
          </w:p>
        </w:tc>
      </w:tr>
      <w:tr w:rsidR="009A54F0" w:rsidRPr="00764635" w14:paraId="6457C90D" w14:textId="77777777" w:rsidTr="004E6BEA">
        <w:tc>
          <w:tcPr>
            <w:tcW w:w="0" w:type="auto"/>
            <w:shd w:val="clear" w:color="auto" w:fill="FFFFFF" w:themeFill="background1"/>
            <w:hideMark/>
          </w:tcPr>
          <w:p w14:paraId="78F51009" w14:textId="77777777" w:rsidR="009A54F0" w:rsidRPr="00764635" w:rsidRDefault="009A54F0" w:rsidP="009A54F0">
            <w:pPr>
              <w:spacing w:line="480" w:lineRule="auto"/>
              <w:rPr>
                <w:b/>
                <w:sz w:val="24"/>
                <w:szCs w:val="24"/>
              </w:rPr>
            </w:pPr>
            <w:r w:rsidRPr="00764635">
              <w:rPr>
                <w:b/>
                <w:sz w:val="24"/>
                <w:szCs w:val="24"/>
              </w:rPr>
              <w:t>Magistrado ponente</w:t>
            </w:r>
          </w:p>
        </w:tc>
        <w:tc>
          <w:tcPr>
            <w:tcW w:w="0" w:type="auto"/>
            <w:shd w:val="clear" w:color="auto" w:fill="FFFFFF" w:themeFill="background1"/>
          </w:tcPr>
          <w:p w14:paraId="6C751FF4" w14:textId="3C04F6B3" w:rsidR="009A54F0" w:rsidRPr="008851ED" w:rsidRDefault="00AF286B" w:rsidP="009A54F0">
            <w:pPr>
              <w:spacing w:line="480" w:lineRule="auto"/>
              <w:rPr>
                <w:sz w:val="24"/>
                <w:szCs w:val="24"/>
              </w:rPr>
            </w:pPr>
            <w:r w:rsidRPr="008851ED">
              <w:rPr>
                <w:sz w:val="24"/>
                <w:szCs w:val="24"/>
              </w:rPr>
              <w:t>Donald José Dix Ponnefz</w:t>
            </w:r>
          </w:p>
        </w:tc>
      </w:tr>
      <w:tr w:rsidR="009A54F0" w:rsidRPr="00764635" w14:paraId="6428E8D0" w14:textId="77777777" w:rsidTr="004E6BEA">
        <w:tc>
          <w:tcPr>
            <w:tcW w:w="0" w:type="auto"/>
            <w:shd w:val="clear" w:color="auto" w:fill="FFFFFF" w:themeFill="background1"/>
            <w:hideMark/>
          </w:tcPr>
          <w:p w14:paraId="16C8E9D7" w14:textId="77777777" w:rsidR="009A54F0" w:rsidRPr="00764635" w:rsidRDefault="009A54F0" w:rsidP="009A54F0">
            <w:pPr>
              <w:spacing w:line="480" w:lineRule="auto"/>
              <w:rPr>
                <w:b/>
                <w:sz w:val="24"/>
                <w:szCs w:val="24"/>
              </w:rPr>
            </w:pPr>
            <w:r w:rsidRPr="00764635">
              <w:rPr>
                <w:b/>
                <w:sz w:val="24"/>
                <w:szCs w:val="24"/>
              </w:rPr>
              <w:t>Partes</w:t>
            </w:r>
          </w:p>
        </w:tc>
        <w:tc>
          <w:tcPr>
            <w:tcW w:w="0" w:type="auto"/>
            <w:shd w:val="clear" w:color="auto" w:fill="FFFFFF" w:themeFill="background1"/>
          </w:tcPr>
          <w:p w14:paraId="34BFA915" w14:textId="55623F1D" w:rsidR="009A54F0" w:rsidRPr="008851ED" w:rsidRDefault="00AF286B" w:rsidP="009A54F0">
            <w:pPr>
              <w:spacing w:line="480" w:lineRule="auto"/>
              <w:rPr>
                <w:rFonts w:eastAsia="Times New Roman"/>
                <w:sz w:val="24"/>
                <w:szCs w:val="24"/>
                <w:lang w:val="es-ES_tradnl" w:eastAsia="es-ES"/>
              </w:rPr>
            </w:pPr>
            <w:r w:rsidRPr="008851ED">
              <w:rPr>
                <w:b/>
                <w:sz w:val="24"/>
                <w:szCs w:val="24"/>
              </w:rPr>
              <w:t xml:space="preserve">Demandante: </w:t>
            </w:r>
            <w:r w:rsidRPr="008851ED">
              <w:rPr>
                <w:sz w:val="24"/>
                <w:szCs w:val="24"/>
              </w:rPr>
              <w:t>José Darío Rincón Rincón</w:t>
            </w:r>
          </w:p>
          <w:p w14:paraId="5217551C" w14:textId="16D0C6E7" w:rsidR="009A54F0" w:rsidRPr="008851ED" w:rsidRDefault="00AF286B" w:rsidP="00AF286B">
            <w:pPr>
              <w:spacing w:line="480" w:lineRule="auto"/>
              <w:rPr>
                <w:sz w:val="24"/>
                <w:szCs w:val="24"/>
              </w:rPr>
            </w:pPr>
            <w:r w:rsidRPr="008851ED">
              <w:rPr>
                <w:b/>
                <w:sz w:val="24"/>
                <w:szCs w:val="24"/>
              </w:rPr>
              <w:t xml:space="preserve">Demandado: </w:t>
            </w:r>
            <w:r>
              <w:rPr>
                <w:sz w:val="24"/>
                <w:szCs w:val="24"/>
              </w:rPr>
              <w:t>Porvenir S.A y</w:t>
            </w:r>
            <w:r w:rsidRPr="008851ED">
              <w:rPr>
                <w:sz w:val="24"/>
                <w:szCs w:val="24"/>
              </w:rPr>
              <w:t xml:space="preserve"> El Patrimonio Autónomo </w:t>
            </w:r>
            <w:r>
              <w:rPr>
                <w:sz w:val="24"/>
                <w:szCs w:val="24"/>
              </w:rPr>
              <w:t>d</w:t>
            </w:r>
            <w:r w:rsidRPr="008851ED">
              <w:rPr>
                <w:sz w:val="24"/>
                <w:szCs w:val="24"/>
              </w:rPr>
              <w:t xml:space="preserve">e Remanentes </w:t>
            </w:r>
            <w:r>
              <w:rPr>
                <w:sz w:val="24"/>
                <w:szCs w:val="24"/>
              </w:rPr>
              <w:t>del ISS</w:t>
            </w:r>
            <w:r w:rsidRPr="008851ED">
              <w:rPr>
                <w:sz w:val="24"/>
                <w:szCs w:val="24"/>
              </w:rPr>
              <w:t xml:space="preserve"> En Liquidación. </w:t>
            </w:r>
          </w:p>
        </w:tc>
      </w:tr>
      <w:tr w:rsidR="009A54F0" w:rsidRPr="00764635" w14:paraId="08EBA94F" w14:textId="77777777" w:rsidTr="004E6BEA">
        <w:tc>
          <w:tcPr>
            <w:tcW w:w="0" w:type="auto"/>
            <w:shd w:val="clear" w:color="auto" w:fill="FFFFFF" w:themeFill="background1"/>
          </w:tcPr>
          <w:p w14:paraId="10786502" w14:textId="77777777" w:rsidR="009A54F0" w:rsidRPr="00764635" w:rsidRDefault="009A54F0" w:rsidP="009A54F0">
            <w:pPr>
              <w:spacing w:line="480" w:lineRule="auto"/>
              <w:rPr>
                <w:b/>
                <w:sz w:val="24"/>
                <w:szCs w:val="24"/>
              </w:rPr>
            </w:pPr>
            <w:r w:rsidRPr="00764635">
              <w:rPr>
                <w:b/>
                <w:sz w:val="24"/>
                <w:szCs w:val="24"/>
              </w:rPr>
              <w:t>Temas</w:t>
            </w:r>
          </w:p>
        </w:tc>
        <w:tc>
          <w:tcPr>
            <w:tcW w:w="0" w:type="auto"/>
            <w:shd w:val="clear" w:color="auto" w:fill="FFFFFF" w:themeFill="background1"/>
          </w:tcPr>
          <w:p w14:paraId="75C7B159" w14:textId="4A8253CC" w:rsidR="009A54F0" w:rsidRPr="008851ED" w:rsidRDefault="009A54F0" w:rsidP="009A54F0">
            <w:pPr>
              <w:spacing w:line="480" w:lineRule="auto"/>
              <w:rPr>
                <w:sz w:val="24"/>
                <w:szCs w:val="24"/>
              </w:rPr>
            </w:pPr>
            <w:r w:rsidRPr="008851ED">
              <w:rPr>
                <w:sz w:val="24"/>
                <w:szCs w:val="24"/>
              </w:rPr>
              <w:t xml:space="preserve">Nulidad de traslado y de la pensión de vejez, devolución de bono pensional, pensión de </w:t>
            </w:r>
            <w:r w:rsidR="00AF286B" w:rsidRPr="008851ED">
              <w:rPr>
                <w:sz w:val="24"/>
                <w:szCs w:val="24"/>
              </w:rPr>
              <w:t>jubilación</w:t>
            </w:r>
            <w:r w:rsidRPr="008851ED">
              <w:rPr>
                <w:sz w:val="24"/>
                <w:szCs w:val="24"/>
              </w:rPr>
              <w:t xml:space="preserve">, intereses moratorios, indexación. </w:t>
            </w:r>
          </w:p>
        </w:tc>
      </w:tr>
      <w:tr w:rsidR="009A54F0" w:rsidRPr="00764635" w14:paraId="21CA5405" w14:textId="77777777" w:rsidTr="004E6BEA">
        <w:tc>
          <w:tcPr>
            <w:tcW w:w="0" w:type="auto"/>
            <w:shd w:val="clear" w:color="auto" w:fill="FFFFFF" w:themeFill="background1"/>
            <w:hideMark/>
          </w:tcPr>
          <w:p w14:paraId="53CAE67B" w14:textId="0E91B396" w:rsidR="009A54F0" w:rsidRPr="00764635" w:rsidRDefault="00AF286B" w:rsidP="009A54F0">
            <w:pPr>
              <w:spacing w:line="480" w:lineRule="auto"/>
              <w:rPr>
                <w:b/>
                <w:sz w:val="24"/>
                <w:szCs w:val="24"/>
              </w:rPr>
            </w:pPr>
            <w:r>
              <w:rPr>
                <w:b/>
                <w:sz w:val="24"/>
                <w:szCs w:val="24"/>
              </w:rPr>
              <w:t>Hechos jurídicamente relevantes</w:t>
            </w:r>
          </w:p>
        </w:tc>
        <w:tc>
          <w:tcPr>
            <w:tcW w:w="0" w:type="auto"/>
            <w:shd w:val="clear" w:color="auto" w:fill="FFFFFF" w:themeFill="background1"/>
          </w:tcPr>
          <w:p w14:paraId="29F8F206" w14:textId="39D10165" w:rsidR="009A54F0" w:rsidRPr="008851ED" w:rsidRDefault="009A54F0" w:rsidP="009A54F0">
            <w:pPr>
              <w:spacing w:line="480" w:lineRule="auto"/>
              <w:rPr>
                <w:sz w:val="24"/>
                <w:szCs w:val="24"/>
              </w:rPr>
            </w:pPr>
            <w:r w:rsidRPr="008851ED">
              <w:rPr>
                <w:sz w:val="24"/>
                <w:szCs w:val="24"/>
              </w:rPr>
              <w:t>El demandante pretende</w:t>
            </w:r>
            <w:r>
              <w:rPr>
                <w:sz w:val="24"/>
                <w:szCs w:val="24"/>
              </w:rPr>
              <w:t xml:space="preserve"> </w:t>
            </w:r>
            <w:r w:rsidRPr="00AF286B">
              <w:rPr>
                <w:sz w:val="24"/>
                <w:szCs w:val="24"/>
              </w:rPr>
              <w:t>la nulidad de traslado y de la pensión de vejez, r</w:t>
            </w:r>
            <w:r w:rsidRPr="008851ED">
              <w:rPr>
                <w:sz w:val="24"/>
                <w:szCs w:val="24"/>
              </w:rPr>
              <w:t>econocimiento y pago de pensión de vejez, intereses moratorios, indemnización de perjuicios y costas. En subsidio</w:t>
            </w:r>
            <w:r w:rsidR="009E7A91">
              <w:rPr>
                <w:sz w:val="24"/>
                <w:szCs w:val="24"/>
              </w:rPr>
              <w:t>,</w:t>
            </w:r>
            <w:r w:rsidRPr="008851ED">
              <w:rPr>
                <w:sz w:val="24"/>
                <w:szCs w:val="24"/>
              </w:rPr>
              <w:t xml:space="preserve"> </w:t>
            </w:r>
            <w:r w:rsidRPr="008851ED">
              <w:rPr>
                <w:sz w:val="24"/>
                <w:szCs w:val="24"/>
              </w:rPr>
              <w:lastRenderedPageBreak/>
              <w:t xml:space="preserve">la ineficacia del traslado y del acto administrativo que reconoció la pensión de vejez y la indemnización de perjuicios. </w:t>
            </w:r>
          </w:p>
          <w:p w14:paraId="4E6994E3" w14:textId="04294514" w:rsidR="009A54F0" w:rsidRPr="008851ED" w:rsidRDefault="009A54F0" w:rsidP="009A54F0">
            <w:pPr>
              <w:spacing w:line="480" w:lineRule="auto"/>
              <w:rPr>
                <w:sz w:val="24"/>
                <w:szCs w:val="24"/>
              </w:rPr>
            </w:pPr>
            <w:r w:rsidRPr="008851ED">
              <w:rPr>
                <w:sz w:val="24"/>
                <w:szCs w:val="24"/>
              </w:rPr>
              <w:t xml:space="preserve">Afirma  que nació el 15 de enero de 1946, que para el 1 de abril de 1994 contaba con </w:t>
            </w:r>
            <w:r w:rsidR="00AF286B" w:rsidRPr="008851ED">
              <w:rPr>
                <w:sz w:val="24"/>
                <w:szCs w:val="24"/>
              </w:rPr>
              <w:t>más</w:t>
            </w:r>
            <w:r w:rsidRPr="008851ED">
              <w:rPr>
                <w:sz w:val="24"/>
                <w:szCs w:val="24"/>
              </w:rPr>
              <w:t xml:space="preserve"> de 40 años de edad y más de 15 años laborados, que es beneficiario del régimen de transición, que se trasladó al RAIS bajo engaños y como consecuencia de una mala asesoría del representante de HORIZONTE. Que HORIZONTE le reconoció pensión de vejez a partir del 1 de diciembre de 2009 bajo la </w:t>
            </w:r>
            <w:r w:rsidR="00AF286B" w:rsidRPr="008851ED">
              <w:rPr>
                <w:sz w:val="24"/>
                <w:szCs w:val="24"/>
              </w:rPr>
              <w:t>modalidad</w:t>
            </w:r>
            <w:r w:rsidRPr="008851ED">
              <w:rPr>
                <w:sz w:val="24"/>
                <w:szCs w:val="24"/>
              </w:rPr>
              <w:t xml:space="preserve"> de retiro programado y 1 SMLMV; que </w:t>
            </w:r>
            <w:r w:rsidR="00AF286B">
              <w:rPr>
                <w:sz w:val="24"/>
                <w:szCs w:val="24"/>
              </w:rPr>
              <w:t>la AFP debió advertirle que lo más conveniente</w:t>
            </w:r>
            <w:r w:rsidRPr="008851ED">
              <w:rPr>
                <w:sz w:val="24"/>
                <w:szCs w:val="24"/>
              </w:rPr>
              <w:t xml:space="preserve"> era el traslado al RPM, que de haber continuado en la entidad su pensión sería superior al SMLMV desde los 60 años; y que el 16 de marzo de 2011 solicito al ISS el traslado y le fue negado. </w:t>
            </w:r>
          </w:p>
          <w:p w14:paraId="627B16A1" w14:textId="0A3FC100" w:rsidR="009A54F0" w:rsidRPr="008851ED" w:rsidRDefault="009A54F0" w:rsidP="009A54F0">
            <w:pPr>
              <w:spacing w:line="480" w:lineRule="auto"/>
              <w:rPr>
                <w:sz w:val="24"/>
                <w:szCs w:val="24"/>
              </w:rPr>
            </w:pPr>
            <w:r w:rsidRPr="008851ED">
              <w:rPr>
                <w:sz w:val="24"/>
                <w:szCs w:val="24"/>
              </w:rPr>
              <w:t xml:space="preserve">El ISS se </w:t>
            </w:r>
            <w:r w:rsidR="00AF286B" w:rsidRPr="008851ED">
              <w:rPr>
                <w:sz w:val="24"/>
                <w:szCs w:val="24"/>
              </w:rPr>
              <w:t>opuso</w:t>
            </w:r>
            <w:r w:rsidRPr="008851ED">
              <w:rPr>
                <w:sz w:val="24"/>
                <w:szCs w:val="24"/>
              </w:rPr>
              <w:t xml:space="preserve"> </w:t>
            </w:r>
            <w:r w:rsidR="00AF286B">
              <w:rPr>
                <w:sz w:val="24"/>
                <w:szCs w:val="24"/>
              </w:rPr>
              <w:t>a totalidad de las pretensiones</w:t>
            </w:r>
            <w:r w:rsidRPr="008851ED">
              <w:rPr>
                <w:sz w:val="24"/>
                <w:szCs w:val="24"/>
              </w:rPr>
              <w:t xml:space="preserve"> y propuso las excepciones de inexistencia de la obligación de aceptar el traslado del actor al régimen de prima media y </w:t>
            </w:r>
            <w:r w:rsidR="00AF286B" w:rsidRPr="008851ED">
              <w:rPr>
                <w:sz w:val="24"/>
                <w:szCs w:val="24"/>
              </w:rPr>
              <w:t>demás</w:t>
            </w:r>
            <w:r w:rsidRPr="008851ED">
              <w:rPr>
                <w:sz w:val="24"/>
                <w:szCs w:val="24"/>
              </w:rPr>
              <w:t xml:space="preserve"> pretensiones invocadas, prescripción y compensación. </w:t>
            </w:r>
          </w:p>
          <w:p w14:paraId="15F2E1BA" w14:textId="77777777" w:rsidR="009A54F0" w:rsidRPr="008851ED" w:rsidRDefault="009A54F0" w:rsidP="009A54F0">
            <w:pPr>
              <w:spacing w:line="480" w:lineRule="auto"/>
              <w:rPr>
                <w:sz w:val="24"/>
                <w:szCs w:val="24"/>
              </w:rPr>
            </w:pPr>
            <w:r w:rsidRPr="008851ED">
              <w:rPr>
                <w:sz w:val="24"/>
                <w:szCs w:val="24"/>
              </w:rPr>
              <w:t xml:space="preserve">PORVENIR S.A se opuso a las pretensiones y propuso las excepciones de ausencia de derecho sustantivo, inexistencia de toda obligación, prescripción, pago y compensación.  </w:t>
            </w:r>
          </w:p>
        </w:tc>
      </w:tr>
      <w:tr w:rsidR="009A54F0" w:rsidRPr="00764635" w14:paraId="29C4BA28" w14:textId="77777777" w:rsidTr="004E6BEA">
        <w:tc>
          <w:tcPr>
            <w:tcW w:w="0" w:type="auto"/>
            <w:shd w:val="clear" w:color="auto" w:fill="FFFFFF" w:themeFill="background1"/>
          </w:tcPr>
          <w:p w14:paraId="6A06072D" w14:textId="39B41799" w:rsidR="009A54F0" w:rsidRPr="00764635" w:rsidRDefault="009A54F0" w:rsidP="00AF286B">
            <w:pPr>
              <w:spacing w:line="480" w:lineRule="auto"/>
              <w:rPr>
                <w:b/>
                <w:sz w:val="24"/>
                <w:szCs w:val="24"/>
              </w:rPr>
            </w:pPr>
            <w:r w:rsidRPr="00764635">
              <w:rPr>
                <w:b/>
                <w:sz w:val="24"/>
                <w:szCs w:val="24"/>
              </w:rPr>
              <w:lastRenderedPageBreak/>
              <w:t xml:space="preserve">Decisiones </w:t>
            </w:r>
            <w:r w:rsidR="00AF286B">
              <w:rPr>
                <w:b/>
                <w:sz w:val="24"/>
                <w:szCs w:val="24"/>
              </w:rPr>
              <w:t>de</w:t>
            </w:r>
            <w:r w:rsidRPr="00764635">
              <w:rPr>
                <w:b/>
                <w:sz w:val="24"/>
                <w:szCs w:val="24"/>
              </w:rPr>
              <w:t xml:space="preserve"> instancia</w:t>
            </w:r>
          </w:p>
        </w:tc>
        <w:tc>
          <w:tcPr>
            <w:tcW w:w="0" w:type="auto"/>
            <w:shd w:val="clear" w:color="auto" w:fill="FFFFFF" w:themeFill="background1"/>
          </w:tcPr>
          <w:p w14:paraId="044E2E81" w14:textId="7546AF87" w:rsidR="009A54F0" w:rsidRPr="008851ED" w:rsidRDefault="009A54F0" w:rsidP="009A54F0">
            <w:pPr>
              <w:spacing w:line="480" w:lineRule="auto"/>
              <w:rPr>
                <w:bCs/>
                <w:iCs/>
                <w:sz w:val="24"/>
                <w:szCs w:val="24"/>
              </w:rPr>
            </w:pPr>
            <w:r>
              <w:rPr>
                <w:b/>
                <w:bCs/>
                <w:iCs/>
                <w:sz w:val="24"/>
                <w:szCs w:val="24"/>
              </w:rPr>
              <w:t xml:space="preserve">Primera </w:t>
            </w:r>
            <w:r w:rsidR="00AF286B">
              <w:rPr>
                <w:b/>
                <w:bCs/>
                <w:iCs/>
                <w:sz w:val="24"/>
                <w:szCs w:val="24"/>
              </w:rPr>
              <w:t>I</w:t>
            </w:r>
            <w:r>
              <w:rPr>
                <w:b/>
                <w:bCs/>
                <w:iCs/>
                <w:sz w:val="24"/>
                <w:szCs w:val="24"/>
              </w:rPr>
              <w:t>nstancia</w:t>
            </w:r>
            <w:r w:rsidR="00AF286B">
              <w:rPr>
                <w:b/>
                <w:bCs/>
                <w:iCs/>
                <w:sz w:val="24"/>
                <w:szCs w:val="24"/>
              </w:rPr>
              <w:t>:</w:t>
            </w:r>
            <w:r w:rsidR="00AF286B">
              <w:rPr>
                <w:bCs/>
                <w:iCs/>
                <w:sz w:val="24"/>
                <w:szCs w:val="24"/>
              </w:rPr>
              <w:t xml:space="preserve"> El J</w:t>
            </w:r>
            <w:r w:rsidRPr="008851ED">
              <w:rPr>
                <w:bCs/>
                <w:iCs/>
                <w:sz w:val="24"/>
                <w:szCs w:val="24"/>
              </w:rPr>
              <w:t>uzgado Veintiuno Laboral de Oralidad del Circuito de Med</w:t>
            </w:r>
            <w:r w:rsidR="00AF286B">
              <w:rPr>
                <w:bCs/>
                <w:iCs/>
                <w:sz w:val="24"/>
                <w:szCs w:val="24"/>
              </w:rPr>
              <w:t>ellín ABSOLVIÓ a las demandadas.</w:t>
            </w:r>
          </w:p>
          <w:p w14:paraId="2381130E" w14:textId="0AFEA343" w:rsidR="009A54F0" w:rsidRPr="008851ED" w:rsidRDefault="009A54F0" w:rsidP="009A54F0">
            <w:pPr>
              <w:spacing w:line="480" w:lineRule="auto"/>
              <w:rPr>
                <w:bCs/>
                <w:iCs/>
                <w:sz w:val="24"/>
                <w:szCs w:val="24"/>
              </w:rPr>
            </w:pPr>
            <w:r>
              <w:rPr>
                <w:b/>
                <w:bCs/>
                <w:iCs/>
                <w:sz w:val="24"/>
                <w:szCs w:val="24"/>
              </w:rPr>
              <w:lastRenderedPageBreak/>
              <w:t xml:space="preserve">Segunda </w:t>
            </w:r>
            <w:r w:rsidR="00AF286B">
              <w:rPr>
                <w:b/>
                <w:bCs/>
                <w:iCs/>
                <w:sz w:val="24"/>
                <w:szCs w:val="24"/>
              </w:rPr>
              <w:t>Instancia:</w:t>
            </w:r>
            <w:r>
              <w:rPr>
                <w:b/>
                <w:bCs/>
                <w:iCs/>
                <w:sz w:val="24"/>
                <w:szCs w:val="24"/>
              </w:rPr>
              <w:t xml:space="preserve"> </w:t>
            </w:r>
            <w:r w:rsidR="00AF286B">
              <w:rPr>
                <w:bCs/>
                <w:iCs/>
                <w:sz w:val="24"/>
                <w:szCs w:val="24"/>
              </w:rPr>
              <w:t>El Tribunal Superior del Distrito J</w:t>
            </w:r>
            <w:r w:rsidRPr="008851ED">
              <w:rPr>
                <w:bCs/>
                <w:iCs/>
                <w:sz w:val="24"/>
                <w:szCs w:val="24"/>
              </w:rPr>
              <w:t>udicial de Medellín CONFIRM</w:t>
            </w:r>
            <w:r w:rsidR="00AF286B">
              <w:rPr>
                <w:bCs/>
                <w:iCs/>
                <w:sz w:val="24"/>
                <w:szCs w:val="24"/>
              </w:rPr>
              <w:t>Ó</w:t>
            </w:r>
            <w:r w:rsidRPr="008851ED">
              <w:rPr>
                <w:bCs/>
                <w:iCs/>
                <w:sz w:val="24"/>
                <w:szCs w:val="24"/>
              </w:rPr>
              <w:t xml:space="preserve"> </w:t>
            </w:r>
            <w:r w:rsidR="00AF286B">
              <w:rPr>
                <w:bCs/>
                <w:iCs/>
                <w:sz w:val="24"/>
                <w:szCs w:val="24"/>
              </w:rPr>
              <w:t>la decisión de primera instancia.</w:t>
            </w:r>
            <w:r w:rsidRPr="008851ED">
              <w:rPr>
                <w:bCs/>
                <w:iCs/>
                <w:sz w:val="24"/>
                <w:szCs w:val="24"/>
              </w:rPr>
              <w:t xml:space="preserve"> </w:t>
            </w:r>
          </w:p>
        </w:tc>
      </w:tr>
      <w:tr w:rsidR="009A54F0" w:rsidRPr="00764635" w14:paraId="2FA6732E" w14:textId="77777777" w:rsidTr="004E6BEA">
        <w:tc>
          <w:tcPr>
            <w:tcW w:w="0" w:type="auto"/>
            <w:shd w:val="clear" w:color="auto" w:fill="FFFFFF" w:themeFill="background1"/>
          </w:tcPr>
          <w:p w14:paraId="7B26619A" w14:textId="77777777" w:rsidR="009A54F0" w:rsidRPr="00764635" w:rsidRDefault="009A54F0" w:rsidP="009A54F0">
            <w:pPr>
              <w:spacing w:line="480" w:lineRule="auto"/>
              <w:rPr>
                <w:b/>
                <w:sz w:val="24"/>
                <w:szCs w:val="24"/>
              </w:rPr>
            </w:pPr>
            <w:r w:rsidRPr="00764635">
              <w:rPr>
                <w:b/>
                <w:sz w:val="24"/>
                <w:szCs w:val="24"/>
              </w:rPr>
              <w:lastRenderedPageBreak/>
              <w:t>Recurso de casación</w:t>
            </w:r>
          </w:p>
        </w:tc>
        <w:tc>
          <w:tcPr>
            <w:tcW w:w="0" w:type="auto"/>
            <w:shd w:val="clear" w:color="auto" w:fill="FFFFFF" w:themeFill="background1"/>
          </w:tcPr>
          <w:p w14:paraId="0A7B3F51" w14:textId="77777777" w:rsidR="009A54F0" w:rsidRPr="008851ED" w:rsidRDefault="009A54F0" w:rsidP="009A54F0">
            <w:pPr>
              <w:spacing w:line="480" w:lineRule="auto"/>
              <w:rPr>
                <w:bCs/>
                <w:iCs/>
                <w:sz w:val="24"/>
                <w:szCs w:val="24"/>
              </w:rPr>
            </w:pPr>
            <w:r w:rsidRPr="008851ED">
              <w:rPr>
                <w:bCs/>
                <w:iCs/>
                <w:sz w:val="24"/>
                <w:szCs w:val="24"/>
              </w:rPr>
              <w:t xml:space="preserve">El demandante solicita que se case la sentencia, que se revoque la decisión y se acceda a las prensiones de la demanda inicial. </w:t>
            </w:r>
          </w:p>
          <w:p w14:paraId="3538CF55" w14:textId="4F234B78" w:rsidR="009A54F0" w:rsidRPr="008851ED" w:rsidRDefault="009A54F0" w:rsidP="009A54F0">
            <w:pPr>
              <w:spacing w:line="480" w:lineRule="auto"/>
              <w:rPr>
                <w:bCs/>
                <w:iCs/>
                <w:sz w:val="24"/>
                <w:szCs w:val="24"/>
              </w:rPr>
            </w:pPr>
            <w:r w:rsidRPr="008851ED">
              <w:rPr>
                <w:bCs/>
                <w:iCs/>
                <w:sz w:val="24"/>
                <w:szCs w:val="24"/>
              </w:rPr>
              <w:t>Acusa la sentencia de transgredir por vía directa de los 4, 5, 14, 15 del decreto 656 de 1994, artículos  87 del CPL 60, decreto 528 de 1994 y el 7 de la ley 16</w:t>
            </w:r>
            <w:r w:rsidR="00B054A7">
              <w:rPr>
                <w:bCs/>
                <w:iCs/>
                <w:sz w:val="24"/>
                <w:szCs w:val="24"/>
              </w:rPr>
              <w:t xml:space="preserve"> </w:t>
            </w:r>
            <w:r w:rsidRPr="008851ED">
              <w:rPr>
                <w:bCs/>
                <w:iCs/>
                <w:sz w:val="24"/>
                <w:szCs w:val="24"/>
              </w:rPr>
              <w:t xml:space="preserve">de 1969, por aplicación indebida de los artículos 61, literal b, ley 100 de 1993, el 64, inciso 2 y el 128 de la ley 100 de 1993; el 3, inciso 3 del decreto 1161 de 112 y 13 del acuerdo 049 de 1990, aprobado por el decreto 758 de 1990, art 9 de la ley 797 de 2003; arts 36, 90, 91 y 141 de la ley 100 de 1993; arts 63, 1502, 1508, 1604 del C.C; art 3 del decreto 1161 de 1994; arts 177 y 252 del CPC, 60 y 61 del CPTSS; arts 48 y 53 de la CN. </w:t>
            </w:r>
          </w:p>
          <w:p w14:paraId="5F76BF9A" w14:textId="44F6395F" w:rsidR="009A54F0" w:rsidRPr="008851ED" w:rsidRDefault="00AF286B" w:rsidP="009A54F0">
            <w:pPr>
              <w:spacing w:line="480" w:lineRule="auto"/>
              <w:rPr>
                <w:bCs/>
                <w:iCs/>
                <w:sz w:val="24"/>
                <w:szCs w:val="24"/>
              </w:rPr>
            </w:pPr>
            <w:r w:rsidRPr="008851ED">
              <w:rPr>
                <w:bCs/>
                <w:iCs/>
                <w:sz w:val="24"/>
                <w:szCs w:val="24"/>
              </w:rPr>
              <w:t>Además</w:t>
            </w:r>
            <w:r w:rsidR="009A54F0" w:rsidRPr="008851ED">
              <w:rPr>
                <w:bCs/>
                <w:iCs/>
                <w:sz w:val="24"/>
                <w:szCs w:val="24"/>
              </w:rPr>
              <w:t xml:space="preserve"> dice que hay una interpretación errónea de los </w:t>
            </w:r>
            <w:r w:rsidRPr="008851ED">
              <w:rPr>
                <w:bCs/>
                <w:iCs/>
                <w:sz w:val="24"/>
                <w:szCs w:val="24"/>
              </w:rPr>
              <w:t>arts.</w:t>
            </w:r>
            <w:r w:rsidR="009A54F0" w:rsidRPr="008851ED">
              <w:rPr>
                <w:bCs/>
                <w:iCs/>
                <w:sz w:val="24"/>
                <w:szCs w:val="24"/>
              </w:rPr>
              <w:t xml:space="preserve"> 174 y 177 del CPC; 145 CPTSS, 36 de la ley 100 de 1993; 12 y 13 del acuerdo 049 de 1990, decreto 758 de 1990; 9 de la ley 797 de 2003; 90 y 91 literal d, 141 de la ley 100 de 1993; 4, 5, 14, 15 decreto 656 de 1994; 3 del decreto 1161 de 1994; 63, 1502, 1508, 1603 y 1604 del CC; 177 y 252 del CPC y 60 y 61 del CPTSS; 48 y 53 de la CN. </w:t>
            </w:r>
          </w:p>
          <w:p w14:paraId="69A15AF9" w14:textId="6C49DCA0" w:rsidR="009A54F0" w:rsidRPr="008851ED" w:rsidRDefault="009A54F0" w:rsidP="009A54F0">
            <w:pPr>
              <w:spacing w:line="480" w:lineRule="auto"/>
              <w:rPr>
                <w:bCs/>
                <w:iCs/>
                <w:sz w:val="24"/>
                <w:szCs w:val="24"/>
              </w:rPr>
            </w:pPr>
            <w:r w:rsidRPr="008851ED">
              <w:rPr>
                <w:bCs/>
                <w:iCs/>
                <w:sz w:val="24"/>
                <w:szCs w:val="24"/>
              </w:rPr>
              <w:t xml:space="preserve">Explicó que las AFP tienen el deber de información y ante su incumplimiento deben responder hasta por culpa leve y recalca </w:t>
            </w:r>
            <w:r w:rsidRPr="008851ED">
              <w:rPr>
                <w:bCs/>
                <w:iCs/>
                <w:sz w:val="24"/>
                <w:szCs w:val="24"/>
              </w:rPr>
              <w:lastRenderedPageBreak/>
              <w:t xml:space="preserve">que de haberse aplicado las normas a las AFP, se habría concluido que HORIZONTE S.A., no acreditó que actuó con la diligencia y cuidado que la ley exigía y habría accedido a las pretensiones de la demanda y que el Tribunal se equivoca al invertir la carga de la prueba y al </w:t>
            </w:r>
            <w:r w:rsidR="00AF286B" w:rsidRPr="008851ED">
              <w:rPr>
                <w:bCs/>
                <w:iCs/>
                <w:sz w:val="24"/>
                <w:szCs w:val="24"/>
              </w:rPr>
              <w:t>imponérsela</w:t>
            </w:r>
            <w:r w:rsidRPr="008851ED">
              <w:rPr>
                <w:bCs/>
                <w:iCs/>
                <w:sz w:val="24"/>
                <w:szCs w:val="24"/>
              </w:rPr>
              <w:t xml:space="preserve"> al demandante. </w:t>
            </w:r>
          </w:p>
          <w:p w14:paraId="6E2BEF1A" w14:textId="77777777" w:rsidR="009A54F0" w:rsidRPr="008851ED" w:rsidRDefault="009A54F0" w:rsidP="009A54F0">
            <w:pPr>
              <w:spacing w:line="480" w:lineRule="auto"/>
              <w:rPr>
                <w:bCs/>
                <w:iCs/>
                <w:sz w:val="24"/>
                <w:szCs w:val="24"/>
              </w:rPr>
            </w:pPr>
            <w:r w:rsidRPr="008851ED">
              <w:rPr>
                <w:bCs/>
                <w:iCs/>
                <w:sz w:val="24"/>
                <w:szCs w:val="24"/>
              </w:rPr>
              <w:t xml:space="preserve">Cita las sentencias de la CSJ SL, 9 sep de 2008 rad 31989; SL 9 sep. 2008, rad. 31314 y la SL 22 nov. 2011, rad. 31083. </w:t>
            </w:r>
          </w:p>
          <w:p w14:paraId="2680A0D3" w14:textId="77777777" w:rsidR="009A54F0" w:rsidRPr="008851ED" w:rsidRDefault="009A54F0" w:rsidP="009A54F0">
            <w:pPr>
              <w:spacing w:line="480" w:lineRule="auto"/>
              <w:rPr>
                <w:bCs/>
                <w:iCs/>
                <w:sz w:val="24"/>
                <w:szCs w:val="24"/>
              </w:rPr>
            </w:pPr>
          </w:p>
        </w:tc>
      </w:tr>
      <w:tr w:rsidR="009A54F0" w:rsidRPr="00764635" w14:paraId="18F6A116" w14:textId="77777777" w:rsidTr="004E6BEA">
        <w:tc>
          <w:tcPr>
            <w:tcW w:w="0" w:type="auto"/>
            <w:tcBorders>
              <w:bottom w:val="single" w:sz="4" w:space="0" w:color="auto"/>
            </w:tcBorders>
            <w:shd w:val="clear" w:color="auto" w:fill="FFFFFF" w:themeFill="background1"/>
            <w:hideMark/>
          </w:tcPr>
          <w:p w14:paraId="1F9D6BDA" w14:textId="1A77C6E1" w:rsidR="009A54F0" w:rsidRPr="00764635" w:rsidRDefault="009A54F0" w:rsidP="00AF286B">
            <w:pPr>
              <w:spacing w:line="480" w:lineRule="auto"/>
              <w:rPr>
                <w:b/>
                <w:sz w:val="24"/>
                <w:szCs w:val="24"/>
              </w:rPr>
            </w:pPr>
            <w:r w:rsidRPr="00764635">
              <w:rPr>
                <w:b/>
                <w:sz w:val="24"/>
                <w:szCs w:val="24"/>
              </w:rPr>
              <w:lastRenderedPageBreak/>
              <w:t xml:space="preserve">Decisión de </w:t>
            </w:r>
            <w:r w:rsidR="00AF286B">
              <w:rPr>
                <w:b/>
                <w:sz w:val="24"/>
                <w:szCs w:val="24"/>
              </w:rPr>
              <w:t>casación</w:t>
            </w:r>
          </w:p>
        </w:tc>
        <w:tc>
          <w:tcPr>
            <w:tcW w:w="0" w:type="auto"/>
            <w:tcBorders>
              <w:bottom w:val="single" w:sz="4" w:space="0" w:color="auto"/>
            </w:tcBorders>
            <w:shd w:val="clear" w:color="auto" w:fill="FFFFFF" w:themeFill="background1"/>
          </w:tcPr>
          <w:p w14:paraId="753F5040" w14:textId="7DC52A9A" w:rsidR="009A54F0" w:rsidRPr="00AF286B" w:rsidRDefault="009A54F0" w:rsidP="009A54F0">
            <w:pPr>
              <w:spacing w:line="480" w:lineRule="auto"/>
              <w:rPr>
                <w:bCs/>
                <w:iCs/>
                <w:sz w:val="24"/>
                <w:szCs w:val="24"/>
              </w:rPr>
            </w:pPr>
            <w:r w:rsidRPr="00AF286B">
              <w:rPr>
                <w:bCs/>
                <w:iCs/>
                <w:sz w:val="24"/>
                <w:szCs w:val="24"/>
              </w:rPr>
              <w:t>CASA</w:t>
            </w:r>
            <w:r w:rsidR="00AF286B">
              <w:rPr>
                <w:rFonts w:eastAsia="Times New Roman"/>
                <w:bCs/>
                <w:iCs/>
                <w:color w:val="000000" w:themeColor="text1"/>
                <w:sz w:val="24"/>
                <w:szCs w:val="24"/>
                <w:bdr w:val="none" w:sz="0" w:space="0" w:color="auto" w:frame="1"/>
              </w:rPr>
              <w:t xml:space="preserve"> la sentencia del </w:t>
            </w:r>
            <w:r w:rsidR="00AF286B">
              <w:rPr>
                <w:bCs/>
                <w:iCs/>
                <w:sz w:val="24"/>
                <w:szCs w:val="24"/>
              </w:rPr>
              <w:t xml:space="preserve"> Tribunal Superior del Distrito J</w:t>
            </w:r>
            <w:r w:rsidR="00AF286B" w:rsidRPr="008851ED">
              <w:rPr>
                <w:bCs/>
                <w:iCs/>
                <w:sz w:val="24"/>
                <w:szCs w:val="24"/>
              </w:rPr>
              <w:t>udicial de Medellín</w:t>
            </w:r>
            <w:r w:rsidR="00AF286B">
              <w:rPr>
                <w:bCs/>
                <w:iCs/>
                <w:sz w:val="24"/>
                <w:szCs w:val="24"/>
              </w:rPr>
              <w:t xml:space="preserve"> y REVOCÓ la sentencia  J</w:t>
            </w:r>
            <w:r w:rsidR="00AF286B" w:rsidRPr="008851ED">
              <w:rPr>
                <w:bCs/>
                <w:iCs/>
                <w:sz w:val="24"/>
                <w:szCs w:val="24"/>
              </w:rPr>
              <w:t>uzgado Veintiuno Laboral de Oralidad del Circuito de Med</w:t>
            </w:r>
            <w:r w:rsidR="00AF286B">
              <w:rPr>
                <w:bCs/>
                <w:iCs/>
                <w:sz w:val="24"/>
                <w:szCs w:val="24"/>
              </w:rPr>
              <w:t>ellín.</w:t>
            </w:r>
          </w:p>
        </w:tc>
      </w:tr>
      <w:tr w:rsidR="009A54F0" w:rsidRPr="00764635" w14:paraId="31646E08" w14:textId="77777777" w:rsidTr="004E6BEA">
        <w:tc>
          <w:tcPr>
            <w:tcW w:w="0" w:type="auto"/>
            <w:tcBorders>
              <w:top w:val="single" w:sz="4" w:space="0" w:color="auto"/>
              <w:bottom w:val="single" w:sz="4" w:space="0" w:color="auto"/>
            </w:tcBorders>
            <w:shd w:val="clear" w:color="auto" w:fill="FFFFFF" w:themeFill="background1"/>
          </w:tcPr>
          <w:p w14:paraId="488E89CE" w14:textId="77777777" w:rsidR="009A54F0" w:rsidRPr="00764635" w:rsidRDefault="009A54F0" w:rsidP="009A54F0">
            <w:pPr>
              <w:spacing w:line="480" w:lineRule="auto"/>
              <w:rPr>
                <w:b/>
                <w:sz w:val="24"/>
                <w:szCs w:val="24"/>
              </w:rPr>
            </w:pPr>
            <w:r w:rsidRPr="00764635">
              <w:rPr>
                <w:b/>
                <w:sz w:val="24"/>
                <w:szCs w:val="24"/>
              </w:rPr>
              <w:t xml:space="preserve">Consideraciones </w:t>
            </w:r>
          </w:p>
        </w:tc>
        <w:tc>
          <w:tcPr>
            <w:tcW w:w="0" w:type="auto"/>
            <w:tcBorders>
              <w:top w:val="single" w:sz="4" w:space="0" w:color="auto"/>
              <w:bottom w:val="single" w:sz="4" w:space="0" w:color="auto"/>
            </w:tcBorders>
            <w:shd w:val="clear" w:color="auto" w:fill="FFFFFF" w:themeFill="background1"/>
          </w:tcPr>
          <w:p w14:paraId="62167FA1" w14:textId="7ABFD8B4" w:rsidR="009A54F0" w:rsidRPr="008851ED" w:rsidRDefault="00AF286B" w:rsidP="009A54F0">
            <w:pPr>
              <w:spacing w:line="480" w:lineRule="auto"/>
              <w:rPr>
                <w:bCs/>
                <w:iCs/>
                <w:sz w:val="24"/>
                <w:szCs w:val="24"/>
              </w:rPr>
            </w:pPr>
            <w:r>
              <w:rPr>
                <w:bCs/>
                <w:iCs/>
                <w:sz w:val="24"/>
                <w:szCs w:val="24"/>
              </w:rPr>
              <w:t>Se reitera</w:t>
            </w:r>
            <w:r w:rsidR="009A54F0" w:rsidRPr="008851ED">
              <w:rPr>
                <w:bCs/>
                <w:iCs/>
                <w:sz w:val="24"/>
                <w:szCs w:val="24"/>
              </w:rPr>
              <w:t xml:space="preserve"> que la AFP tiene el deber de información desde su fundación y que es quien debe demostrar que el contrato de aseguramiento se firmó con plena </w:t>
            </w:r>
            <w:r w:rsidRPr="008851ED">
              <w:rPr>
                <w:bCs/>
                <w:iCs/>
                <w:sz w:val="24"/>
                <w:szCs w:val="24"/>
              </w:rPr>
              <w:t>validez</w:t>
            </w:r>
            <w:r w:rsidR="009A54F0" w:rsidRPr="008851ED">
              <w:rPr>
                <w:bCs/>
                <w:iCs/>
                <w:sz w:val="24"/>
                <w:szCs w:val="24"/>
              </w:rPr>
              <w:t xml:space="preserve"> y que se brindó la información necesaria para efectuar el traslado del régimen,</w:t>
            </w:r>
            <w:r>
              <w:rPr>
                <w:bCs/>
                <w:iCs/>
                <w:sz w:val="24"/>
                <w:szCs w:val="24"/>
              </w:rPr>
              <w:t xml:space="preserve"> ya que</w:t>
            </w:r>
            <w:r w:rsidR="009A54F0" w:rsidRPr="008851ED">
              <w:rPr>
                <w:bCs/>
                <w:iCs/>
                <w:sz w:val="24"/>
                <w:szCs w:val="24"/>
              </w:rPr>
              <w:t xml:space="preserve"> opera la inversión de la carga de</w:t>
            </w:r>
            <w:r>
              <w:rPr>
                <w:bCs/>
                <w:iCs/>
                <w:sz w:val="24"/>
                <w:szCs w:val="24"/>
              </w:rPr>
              <w:t xml:space="preserve"> la prueba a favor del afiliado.</w:t>
            </w:r>
          </w:p>
          <w:p w14:paraId="55F4F4E9" w14:textId="42DFC42B" w:rsidR="009A54F0" w:rsidRPr="004E6BEA" w:rsidRDefault="004E6BEA" w:rsidP="009A54F0">
            <w:pPr>
              <w:spacing w:line="480" w:lineRule="auto"/>
              <w:rPr>
                <w:bCs/>
                <w:iCs/>
                <w:sz w:val="24"/>
                <w:szCs w:val="24"/>
              </w:rPr>
            </w:pPr>
            <w:r>
              <w:rPr>
                <w:bCs/>
                <w:iCs/>
                <w:sz w:val="24"/>
                <w:szCs w:val="24"/>
              </w:rPr>
              <w:t>Por otra parte señala que,</w:t>
            </w:r>
            <w:r w:rsidR="009A54F0" w:rsidRPr="008851ED">
              <w:rPr>
                <w:bCs/>
                <w:iCs/>
                <w:sz w:val="24"/>
                <w:szCs w:val="24"/>
              </w:rPr>
              <w:t xml:space="preserve"> al advertirse el actuar indebido de la AFP, esta debe asumir a su cargo los deterioros sufridos por el bien administrado, esto es, las mermas del capital destinado a la financiación de la pensión, devolver lo que canceló por el pago de las mesadas pensionales, por garantía </w:t>
            </w:r>
            <w:r w:rsidRPr="008851ED">
              <w:rPr>
                <w:bCs/>
                <w:iCs/>
                <w:sz w:val="24"/>
                <w:szCs w:val="24"/>
              </w:rPr>
              <w:t>mínima</w:t>
            </w:r>
            <w:r w:rsidR="009A54F0" w:rsidRPr="008851ED">
              <w:rPr>
                <w:bCs/>
                <w:iCs/>
                <w:sz w:val="24"/>
                <w:szCs w:val="24"/>
              </w:rPr>
              <w:t xml:space="preserve"> en el RAIS, además de los bonos pensionales, gastos de administración y </w:t>
            </w:r>
            <w:r w:rsidR="009A54F0" w:rsidRPr="008851ED">
              <w:rPr>
                <w:bCs/>
                <w:iCs/>
                <w:sz w:val="24"/>
                <w:szCs w:val="24"/>
              </w:rPr>
              <w:lastRenderedPageBreak/>
              <w:t xml:space="preserve">comisiones con cargo a sus propias utilidades, pues estos recursos han debido ingresar al RPM administrado por COLPENSIONES, destinado a la pensión que ahora será reconocida. </w:t>
            </w:r>
            <w:r>
              <w:rPr>
                <w:bCs/>
                <w:iCs/>
                <w:sz w:val="24"/>
                <w:szCs w:val="24"/>
              </w:rPr>
              <w:t xml:space="preserve">No </w:t>
            </w:r>
            <w:r w:rsidR="009A54F0" w:rsidRPr="008851ED">
              <w:rPr>
                <w:rFonts w:eastAsia="Times New Roman"/>
                <w:bCs/>
                <w:iCs/>
                <w:color w:val="000000" w:themeColor="text1"/>
                <w:sz w:val="24"/>
                <w:szCs w:val="24"/>
                <w:bdr w:val="none" w:sz="0" w:space="0" w:color="auto" w:frame="1"/>
              </w:rPr>
              <w:t>puede pasarse por alto, que las pensiones a cargo de C</w:t>
            </w:r>
            <w:r w:rsidRPr="008851ED">
              <w:rPr>
                <w:rFonts w:eastAsia="Times New Roman"/>
                <w:bCs/>
                <w:iCs/>
                <w:color w:val="000000" w:themeColor="text1"/>
                <w:sz w:val="24"/>
                <w:szCs w:val="24"/>
                <w:bdr w:val="none" w:sz="0" w:space="0" w:color="auto" w:frame="1"/>
              </w:rPr>
              <w:t>OLPENSIONES</w:t>
            </w:r>
            <w:r w:rsidR="009A54F0" w:rsidRPr="008851ED">
              <w:rPr>
                <w:rFonts w:eastAsia="Times New Roman"/>
                <w:bCs/>
                <w:iCs/>
                <w:color w:val="000000" w:themeColor="text1"/>
                <w:sz w:val="24"/>
                <w:szCs w:val="24"/>
                <w:bdr w:val="none" w:sz="0" w:space="0" w:color="auto" w:frame="1"/>
              </w:rPr>
              <w:t xml:space="preserve"> se cimientan en la naturaleza </w:t>
            </w:r>
            <w:r w:rsidRPr="008851ED">
              <w:rPr>
                <w:rFonts w:eastAsia="Times New Roman"/>
                <w:bCs/>
                <w:iCs/>
                <w:color w:val="000000" w:themeColor="text1"/>
                <w:sz w:val="24"/>
                <w:szCs w:val="24"/>
                <w:bdr w:val="none" w:sz="0" w:space="0" w:color="auto" w:frame="1"/>
              </w:rPr>
              <w:t>pública,</w:t>
            </w:r>
            <w:r w:rsidR="009A54F0" w:rsidRPr="008851ED">
              <w:rPr>
                <w:rFonts w:eastAsia="Times New Roman"/>
                <w:bCs/>
                <w:iCs/>
                <w:color w:val="000000" w:themeColor="text1"/>
                <w:sz w:val="24"/>
                <w:szCs w:val="24"/>
                <w:bdr w:val="none" w:sz="0" w:space="0" w:color="auto" w:frame="1"/>
              </w:rPr>
              <w:t xml:space="preserve"> en el cual los aportes de los afiliados son distribuidos entre todos para garantizar las prestaciones pensionales que se deriven por las contingencias sociales de invalidez, vejez o muerte. </w:t>
            </w:r>
            <w:r>
              <w:rPr>
                <w:rFonts w:eastAsia="Times New Roman"/>
                <w:bCs/>
                <w:iCs/>
                <w:color w:val="000000" w:themeColor="text1"/>
                <w:sz w:val="24"/>
                <w:szCs w:val="24"/>
                <w:bdr w:val="none" w:sz="0" w:space="0" w:color="auto" w:frame="1"/>
              </w:rPr>
              <w:t>Por lo que no</w:t>
            </w:r>
            <w:r w:rsidR="009A54F0" w:rsidRPr="008851ED">
              <w:rPr>
                <w:rFonts w:eastAsia="Times New Roman"/>
                <w:bCs/>
                <w:iCs/>
                <w:color w:val="000000" w:themeColor="text1"/>
                <w:sz w:val="24"/>
                <w:szCs w:val="24"/>
                <w:bdr w:val="none" w:sz="0" w:space="0" w:color="auto" w:frame="1"/>
              </w:rPr>
              <w:t xml:space="preserve"> podría trasladarse a este los efectos nocivos </w:t>
            </w:r>
            <w:r>
              <w:rPr>
                <w:rFonts w:eastAsia="Times New Roman"/>
                <w:bCs/>
                <w:iCs/>
                <w:color w:val="000000" w:themeColor="text1"/>
                <w:sz w:val="24"/>
                <w:szCs w:val="24"/>
                <w:bdr w:val="none" w:sz="0" w:space="0" w:color="auto" w:frame="1"/>
              </w:rPr>
              <w:t>por el reconocimiento de u</w:t>
            </w:r>
            <w:r w:rsidR="009A54F0" w:rsidRPr="008851ED">
              <w:rPr>
                <w:rFonts w:eastAsia="Times New Roman"/>
                <w:bCs/>
                <w:iCs/>
                <w:color w:val="000000" w:themeColor="text1"/>
                <w:sz w:val="24"/>
                <w:szCs w:val="24"/>
                <w:bdr w:val="none" w:sz="0" w:space="0" w:color="auto" w:frame="1"/>
              </w:rPr>
              <w:t>na mesada pensional inferior</w:t>
            </w:r>
            <w:r>
              <w:rPr>
                <w:rFonts w:eastAsia="Times New Roman"/>
                <w:bCs/>
                <w:iCs/>
                <w:color w:val="000000" w:themeColor="text1"/>
                <w:sz w:val="24"/>
                <w:szCs w:val="24"/>
                <w:bdr w:val="none" w:sz="0" w:space="0" w:color="auto" w:frame="1"/>
              </w:rPr>
              <w:t>, por parte de la AFP del RAIS,</w:t>
            </w:r>
            <w:r w:rsidR="009A54F0" w:rsidRPr="008851ED">
              <w:rPr>
                <w:rFonts w:eastAsia="Times New Roman"/>
                <w:bCs/>
                <w:iCs/>
                <w:color w:val="000000" w:themeColor="text1"/>
                <w:sz w:val="24"/>
                <w:szCs w:val="24"/>
                <w:bdr w:val="none" w:sz="0" w:space="0" w:color="auto" w:frame="1"/>
              </w:rPr>
              <w:t xml:space="preserve"> a l</w:t>
            </w:r>
            <w:r>
              <w:rPr>
                <w:rFonts w:eastAsia="Times New Roman"/>
                <w:bCs/>
                <w:iCs/>
                <w:color w:val="000000" w:themeColor="text1"/>
                <w:sz w:val="24"/>
                <w:szCs w:val="24"/>
                <w:bdr w:val="none" w:sz="0" w:space="0" w:color="auto" w:frame="1"/>
              </w:rPr>
              <w:t>a correspondiente en el RPM</w:t>
            </w:r>
            <w:r w:rsidR="009A54F0" w:rsidRPr="008851ED">
              <w:rPr>
                <w:rFonts w:eastAsia="Times New Roman"/>
                <w:bCs/>
                <w:iCs/>
                <w:color w:val="000000" w:themeColor="text1"/>
                <w:sz w:val="24"/>
                <w:szCs w:val="24"/>
                <w:bdr w:val="none" w:sz="0" w:space="0" w:color="auto" w:frame="1"/>
              </w:rPr>
              <w:t xml:space="preserve"> de no </w:t>
            </w:r>
            <w:r>
              <w:rPr>
                <w:rFonts w:eastAsia="Times New Roman"/>
                <w:bCs/>
                <w:iCs/>
                <w:color w:val="000000" w:themeColor="text1"/>
                <w:sz w:val="24"/>
                <w:szCs w:val="24"/>
                <w:bdr w:val="none" w:sz="0" w:space="0" w:color="auto" w:frame="1"/>
              </w:rPr>
              <w:t>haberse efectuado el traslado, pues la</w:t>
            </w:r>
            <w:r w:rsidR="009A54F0" w:rsidRPr="008851ED">
              <w:rPr>
                <w:rFonts w:eastAsia="Times New Roman"/>
                <w:bCs/>
                <w:iCs/>
                <w:color w:val="000000" w:themeColor="text1"/>
                <w:sz w:val="24"/>
                <w:szCs w:val="24"/>
                <w:bdr w:val="none" w:sz="0" w:space="0" w:color="auto" w:frame="1"/>
              </w:rPr>
              <w:t xml:space="preserve"> responsabilidad recae</w:t>
            </w:r>
            <w:r>
              <w:rPr>
                <w:rFonts w:eastAsia="Times New Roman"/>
                <w:bCs/>
                <w:iCs/>
                <w:color w:val="000000" w:themeColor="text1"/>
                <w:sz w:val="24"/>
                <w:szCs w:val="24"/>
                <w:bdr w:val="none" w:sz="0" w:space="0" w:color="auto" w:frame="1"/>
              </w:rPr>
              <w:t xml:space="preserve"> únicamente </w:t>
            </w:r>
            <w:r w:rsidR="009A54F0" w:rsidRPr="008851ED">
              <w:rPr>
                <w:rFonts w:eastAsia="Times New Roman"/>
                <w:bCs/>
                <w:iCs/>
                <w:color w:val="000000" w:themeColor="text1"/>
                <w:sz w:val="24"/>
                <w:szCs w:val="24"/>
                <w:bdr w:val="none" w:sz="0" w:space="0" w:color="auto" w:frame="1"/>
              </w:rPr>
              <w:t>en esta AFP, al haber o</w:t>
            </w:r>
            <w:r>
              <w:rPr>
                <w:rFonts w:eastAsia="Times New Roman"/>
                <w:bCs/>
                <w:iCs/>
                <w:color w:val="000000" w:themeColor="text1"/>
                <w:sz w:val="24"/>
                <w:szCs w:val="24"/>
                <w:bdr w:val="none" w:sz="0" w:space="0" w:color="auto" w:frame="1"/>
              </w:rPr>
              <w:t>mitido su deber de información.</w:t>
            </w:r>
          </w:p>
        </w:tc>
      </w:tr>
    </w:tbl>
    <w:p w14:paraId="6F46A409" w14:textId="77777777" w:rsidR="00816812" w:rsidRDefault="00816812" w:rsidP="0039151D">
      <w:pPr>
        <w:spacing w:line="480" w:lineRule="auto"/>
        <w:ind w:firstLine="709"/>
      </w:pPr>
    </w:p>
    <w:p w14:paraId="3B142485" w14:textId="04749042" w:rsidR="00B367D2" w:rsidRDefault="00A83D5D" w:rsidP="0039151D">
      <w:pPr>
        <w:spacing w:line="480" w:lineRule="auto"/>
        <w:ind w:firstLine="709"/>
        <w:rPr>
          <w:lang w:val="es-ES"/>
        </w:rPr>
      </w:pPr>
      <w:r>
        <w:t>La relevancia de las anteriores sentencias para el presente estudio radica en que, partiendo desde la sentencia</w:t>
      </w:r>
      <w:r w:rsidR="00187E52" w:rsidRPr="00C97613">
        <w:rPr>
          <w:lang w:val="es-ES"/>
        </w:rPr>
        <w:t xml:space="preserve"> SL 31989 del 9 de septiembre del 2008, s</w:t>
      </w:r>
      <w:r>
        <w:rPr>
          <w:lang w:val="es-ES"/>
        </w:rPr>
        <w:t>entencia hito sobre la materia por ser</w:t>
      </w:r>
      <w:r w:rsidR="00187E52" w:rsidRPr="00C97613">
        <w:rPr>
          <w:lang w:val="es-ES"/>
        </w:rPr>
        <w:t xml:space="preserve"> la primera </w:t>
      </w:r>
      <w:r>
        <w:rPr>
          <w:lang w:val="es-ES"/>
        </w:rPr>
        <w:t>en abordar</w:t>
      </w:r>
      <w:r w:rsidR="00187E52" w:rsidRPr="00C97613">
        <w:rPr>
          <w:lang w:val="es-ES"/>
        </w:rPr>
        <w:t xml:space="preserve"> el tema de la procedencia de la ineficacia de la afiliación cuando hay una omisión al deber de información por parte de un promotor de la AFP</w:t>
      </w:r>
      <w:r w:rsidR="00B367D2">
        <w:rPr>
          <w:lang w:val="es-ES"/>
        </w:rPr>
        <w:t>,</w:t>
      </w:r>
      <w:r w:rsidR="00187E52" w:rsidRPr="00C97613">
        <w:rPr>
          <w:lang w:val="es-ES"/>
        </w:rPr>
        <w:t xml:space="preserve"> y </w:t>
      </w:r>
      <w:r w:rsidR="00B367D2">
        <w:rPr>
          <w:lang w:val="es-ES"/>
        </w:rPr>
        <w:t>continuando con las otras providencias analizadas</w:t>
      </w:r>
      <w:r w:rsidR="00187E52" w:rsidRPr="00C97613">
        <w:rPr>
          <w:lang w:val="es-ES"/>
        </w:rPr>
        <w:t xml:space="preserve">, </w:t>
      </w:r>
      <w:r w:rsidR="00B367D2">
        <w:rPr>
          <w:lang w:val="es-ES"/>
        </w:rPr>
        <w:t>se ha</w:t>
      </w:r>
      <w:r w:rsidR="00187E52" w:rsidRPr="00C97613">
        <w:rPr>
          <w:lang w:val="es-ES"/>
        </w:rPr>
        <w:t xml:space="preserve"> crea</w:t>
      </w:r>
      <w:r w:rsidR="00B367D2">
        <w:rPr>
          <w:lang w:val="es-ES"/>
        </w:rPr>
        <w:t>do</w:t>
      </w:r>
      <w:r w:rsidR="00187E52" w:rsidRPr="00C97613">
        <w:rPr>
          <w:lang w:val="es-ES"/>
        </w:rPr>
        <w:t xml:space="preserve"> una línea jurisprudencial </w:t>
      </w:r>
      <w:r w:rsidR="00B367D2">
        <w:rPr>
          <w:lang w:val="es-ES"/>
        </w:rPr>
        <w:t>en la que se reitera lo siguiente:</w:t>
      </w:r>
    </w:p>
    <w:p w14:paraId="0E85AF60" w14:textId="1644C1D8" w:rsidR="00B367D2" w:rsidRPr="00B367D2" w:rsidRDefault="00B367D2" w:rsidP="00B367D2">
      <w:pPr>
        <w:spacing w:line="480" w:lineRule="auto"/>
        <w:ind w:left="720"/>
        <w:rPr>
          <w:lang w:val="es-ES"/>
        </w:rPr>
      </w:pPr>
      <w:r>
        <w:rPr>
          <w:lang w:val="es-ES"/>
        </w:rPr>
        <w:t xml:space="preserve">(…) </w:t>
      </w:r>
      <w:r w:rsidRPr="00B367D2">
        <w:rPr>
          <w:lang w:val="es-ES"/>
        </w:rPr>
        <w:t xml:space="preserve">la regla jurisprudencial </w:t>
      </w:r>
      <w:r>
        <w:rPr>
          <w:lang w:val="es-ES"/>
        </w:rPr>
        <w:t>(…)</w:t>
      </w:r>
      <w:r w:rsidRPr="00B367D2">
        <w:rPr>
          <w:lang w:val="es-ES"/>
        </w:rPr>
        <w:t xml:space="preserve"> es que las administradoras de fondos de pensiones deben suministrar al afiliado información clara, cierta, comprensible y oportuna de las características, condiciones, beneficios, </w:t>
      </w:r>
      <w:r w:rsidRPr="00B367D2">
        <w:rPr>
          <w:lang w:val="es-ES"/>
        </w:rPr>
        <w:lastRenderedPageBreak/>
        <w:t xml:space="preserve">diferencias, riesgos y consecuencias del cambio de régimen pensional y, además, que en estos procesos opera una inversión de la carga de la prueba en favor del afiliado. </w:t>
      </w:r>
    </w:p>
    <w:p w14:paraId="22FCF7C4" w14:textId="57F503C2" w:rsidR="00B367D2" w:rsidRPr="00B367D2" w:rsidRDefault="00B367D2" w:rsidP="00B367D2">
      <w:pPr>
        <w:spacing w:line="480" w:lineRule="auto"/>
        <w:ind w:left="720"/>
        <w:rPr>
          <w:lang w:val="es-ES"/>
        </w:rPr>
      </w:pPr>
      <w:r w:rsidRPr="00B367D2">
        <w:rPr>
          <w:lang w:val="es-ES"/>
        </w:rPr>
        <w:t>Lo anterior, se repite, sin importar si se tiene o no un derecho consolidado, se tiene o no un beneficio transicional, o si está próximo o no a pensionarse, dado que la violación del deber de información se predica frente a la validez del acto jurídico de traslado, considerado en sí mismo. Esto, desde luego, teniendo en cuenta las particularidades de cada asunto</w:t>
      </w:r>
      <w:r w:rsidR="00173211">
        <w:rPr>
          <w:lang w:val="es-ES"/>
        </w:rPr>
        <w:t xml:space="preserve"> (Sentencia SL 1452-2019)</w:t>
      </w:r>
      <w:r w:rsidRPr="00B367D2">
        <w:rPr>
          <w:lang w:val="es-ES"/>
        </w:rPr>
        <w:t>.</w:t>
      </w:r>
    </w:p>
    <w:p w14:paraId="392BE1DF" w14:textId="1EAFAD8B" w:rsidR="008E247C" w:rsidRDefault="0039151D" w:rsidP="008E247C">
      <w:pPr>
        <w:spacing w:line="480" w:lineRule="auto"/>
        <w:ind w:firstLine="709"/>
        <w:rPr>
          <w:color w:val="000000" w:themeColor="text1"/>
        </w:rPr>
      </w:pPr>
      <w:r w:rsidRPr="00C97613">
        <w:t>Además</w:t>
      </w:r>
      <w:r w:rsidR="00187E52" w:rsidRPr="00C97613">
        <w:t xml:space="preserve"> la sentencia SL 1688 del 2019 es relevante por lo siguiente: 1) precisa las </w:t>
      </w:r>
      <w:r w:rsidRPr="00C97613">
        <w:t>consecuencias</w:t>
      </w:r>
      <w:r w:rsidR="00187E52" w:rsidRPr="00C97613">
        <w:t xml:space="preserve"> prácticas de la declaratoria de la ineficacia de la afiliación e indica que la AFP además de la devolución de los aportes que la persona tenía en la cuenta de ahorro individual con sus rendimientos, debe devolver también los valores correspondientes a los gastos de administración, los cuales deberá asumir con cargo a sus propios recursos y </w:t>
      </w:r>
      <w:r w:rsidRPr="00C97613">
        <w:t>también</w:t>
      </w:r>
      <w:r w:rsidR="00187E52" w:rsidRPr="00C97613">
        <w:t xml:space="preserve"> deja claro que la ineficacia de la afiliación junto con sus derechos y obligaciones es imprescriptible y que su consecuencia es que</w:t>
      </w:r>
      <w:r w:rsidR="000F35A0">
        <w:t>,</w:t>
      </w:r>
      <w:r w:rsidR="00187E52" w:rsidRPr="00C97613">
        <w:t xml:space="preserve"> desde </w:t>
      </w:r>
      <w:r w:rsidR="000F35A0">
        <w:t xml:space="preserve">el </w:t>
      </w:r>
      <w:r w:rsidR="00187E52" w:rsidRPr="00C97613">
        <w:t>nacimiento</w:t>
      </w:r>
      <w:r w:rsidR="000F35A0">
        <w:t>,</w:t>
      </w:r>
      <w:r w:rsidR="00187E52" w:rsidRPr="00C97613">
        <w:t xml:space="preserve"> el acto carece de efectos jurídicos; 2) Dice que las mesadas pensionales no reclamadas dentro de los 3 años siguientes a su exigibilidad s</w:t>
      </w:r>
      <w:r w:rsidR="00116528">
        <w:t xml:space="preserve">í </w:t>
      </w:r>
      <w:r w:rsidR="00187E52" w:rsidRPr="00C97613">
        <w:t xml:space="preserve">prescriben conforme al artículo 151 del CPT y de la SS; 3) Deja claro que según los artículos 271 y 272 de la ley 100 de 1993, la consecuencia de una afiliación desinformada es la ineficacia de la </w:t>
      </w:r>
      <w:r w:rsidRPr="00C97613">
        <w:t>afiliación</w:t>
      </w:r>
      <w:r w:rsidR="00187E52" w:rsidRPr="00C97613">
        <w:t xml:space="preserve"> en sentido estricto y no el régimen de nulidades sustanciales dejando a salvo las sumas de dinero recibidas por el trabajador o afiliado de buena </w:t>
      </w:r>
      <w:r w:rsidR="000F35A0" w:rsidRPr="00C97613">
        <w:t>fe</w:t>
      </w:r>
      <w:r w:rsidR="00187E52" w:rsidRPr="00C97613">
        <w:t xml:space="preserve">, por lo que, no tiene que demostrar vicios del consentimiento; 4) </w:t>
      </w:r>
      <w:r w:rsidR="000F35A0">
        <w:t>manifiesta</w:t>
      </w:r>
      <w:r w:rsidR="00187E52" w:rsidRPr="00C97613">
        <w:t xml:space="preserve"> que la </w:t>
      </w:r>
      <w:r w:rsidR="00187E52" w:rsidRPr="00C97613">
        <w:lastRenderedPageBreak/>
        <w:t xml:space="preserve">ineficacia </w:t>
      </w:r>
      <w:r w:rsidR="00187E52" w:rsidRPr="00C97613">
        <w:rPr>
          <w:color w:val="000000" w:themeColor="text1"/>
        </w:rPr>
        <w:t xml:space="preserve">es </w:t>
      </w:r>
      <w:r w:rsidRPr="00C97613">
        <w:rPr>
          <w:color w:val="000000" w:themeColor="text1"/>
        </w:rPr>
        <w:t>insanable</w:t>
      </w:r>
      <w:r w:rsidR="00187E52" w:rsidRPr="00C97613">
        <w:rPr>
          <w:color w:val="000000" w:themeColor="text1"/>
        </w:rPr>
        <w:t xml:space="preserve"> en cuanto no es posible sanear aquell</w:t>
      </w:r>
      <w:r w:rsidR="00B367D2">
        <w:rPr>
          <w:color w:val="000000" w:themeColor="text1"/>
        </w:rPr>
        <w:t xml:space="preserve">o que nunca produjo efectos. </w:t>
      </w:r>
    </w:p>
    <w:p w14:paraId="4018A958" w14:textId="645E4A66" w:rsidR="00B367D2" w:rsidRDefault="00B367D2" w:rsidP="008E247C">
      <w:pPr>
        <w:spacing w:line="480" w:lineRule="auto"/>
        <w:ind w:firstLine="709"/>
        <w:rPr>
          <w:lang w:val="es-CO"/>
        </w:rPr>
      </w:pPr>
      <w:r>
        <w:t>Por su parte, la s</w:t>
      </w:r>
      <w:r w:rsidRPr="00B367D2">
        <w:t xml:space="preserve">entencia </w:t>
      </w:r>
      <w:r w:rsidRPr="00B367D2">
        <w:rPr>
          <w:lang w:val="es-CO"/>
        </w:rPr>
        <w:t>SL 4933</w:t>
      </w:r>
      <w:r>
        <w:rPr>
          <w:lang w:val="es-CO"/>
        </w:rPr>
        <w:t xml:space="preserve">-2019 es, hasta la fecha, </w:t>
      </w:r>
      <w:r w:rsidRPr="00F67B6F">
        <w:rPr>
          <w:lang w:val="es-CO"/>
        </w:rPr>
        <w:t>el primer pronunciamiento de la</w:t>
      </w:r>
      <w:r>
        <w:rPr>
          <w:lang w:val="es-CO"/>
        </w:rPr>
        <w:t xml:space="preserve"> Sala Laboral de la</w:t>
      </w:r>
      <w:r w:rsidRPr="00F67B6F">
        <w:rPr>
          <w:lang w:val="es-CO"/>
        </w:rPr>
        <w:t xml:space="preserve"> Corte Suprema de Justicia frente a la procedencia de la ineficacia de la afiliación en los casos en que el promotor de una AFP omite el deber de información y el afiliado se encuentra pensionado</w:t>
      </w:r>
      <w:r w:rsidR="00116528">
        <w:rPr>
          <w:lang w:val="es-CO"/>
        </w:rPr>
        <w:t xml:space="preserve"> (en otros casos se habló de nulidad)</w:t>
      </w:r>
      <w:r w:rsidRPr="00F67B6F">
        <w:rPr>
          <w:lang w:val="es-CO"/>
        </w:rPr>
        <w:t>. Además</w:t>
      </w:r>
      <w:r w:rsidR="00116528">
        <w:rPr>
          <w:lang w:val="es-CO"/>
        </w:rPr>
        <w:t>,</w:t>
      </w:r>
      <w:r w:rsidRPr="00F67B6F">
        <w:rPr>
          <w:lang w:val="es-CO"/>
        </w:rPr>
        <w:t xml:space="preserve"> fundamenta su decisión en el artículo 963 del Código Civil, norma que había sido aplicada con anterioridad por la Corte desde la sentencia CSJ SL, 8 sep. 2008, rad. 31989.</w:t>
      </w:r>
    </w:p>
    <w:p w14:paraId="00A355CF" w14:textId="69ECE373" w:rsidR="000F1179" w:rsidRPr="00CB57E7" w:rsidRDefault="00B367D2" w:rsidP="000F1179">
      <w:pPr>
        <w:spacing w:line="480" w:lineRule="auto"/>
        <w:ind w:firstLine="709"/>
        <w:rPr>
          <w:rStyle w:val="xs2"/>
          <w:color w:val="201F1E"/>
          <w:bdr w:val="none" w:sz="0" w:space="0" w:color="auto" w:frame="1"/>
        </w:rPr>
      </w:pPr>
      <w:r>
        <w:rPr>
          <w:lang w:val="es-CO"/>
        </w:rPr>
        <w:t>Especial mención requiere</w:t>
      </w:r>
      <w:r w:rsidR="000F1179">
        <w:rPr>
          <w:lang w:val="es-CO"/>
        </w:rPr>
        <w:t xml:space="preserve"> la </w:t>
      </w:r>
      <w:r w:rsidR="000F1179" w:rsidRPr="000F1179">
        <w:t>Senten</w:t>
      </w:r>
      <w:r w:rsidR="000F1179">
        <w:t>cia 053 del 3 de Marzo del 2020, r</w:t>
      </w:r>
      <w:r w:rsidR="000F1179" w:rsidRPr="000F1179">
        <w:t>a</w:t>
      </w:r>
      <w:r w:rsidR="000F1179">
        <w:t>dicado  05001310500620180031000, proferida por la</w:t>
      </w:r>
      <w:r w:rsidR="000F1179" w:rsidRPr="000F1179">
        <w:t xml:space="preserve"> Juez Sexta Laboral del Circuito de Medellín</w:t>
      </w:r>
      <w:r w:rsidR="000F1179">
        <w:t>, ya que se</w:t>
      </w:r>
      <w:r w:rsidR="000F1179" w:rsidRPr="00CB57E7">
        <w:t xml:space="preserve"> hace </w:t>
      </w:r>
      <w:r w:rsidR="000F1179">
        <w:t xml:space="preserve">una </w:t>
      </w:r>
      <w:r w:rsidR="000F1179" w:rsidRPr="00CB57E7">
        <w:t xml:space="preserve">exposición de las obligaciones </w:t>
      </w:r>
      <w:r w:rsidR="000F1179">
        <w:t xml:space="preserve">de las AFP </w:t>
      </w:r>
      <w:r w:rsidR="000F1179" w:rsidRPr="00CB57E7">
        <w:t>con respecto al deber de información, asesoría</w:t>
      </w:r>
      <w:r w:rsidR="000F1179">
        <w:t>, buen consejo y doble asesoría.</w:t>
      </w:r>
      <w:r w:rsidR="000F1179" w:rsidRPr="00CB57E7">
        <w:t xml:space="preserve"> </w:t>
      </w:r>
      <w:r w:rsidR="000F1179">
        <w:t>A</w:t>
      </w:r>
      <w:r w:rsidR="000F1179" w:rsidRPr="00CB57E7">
        <w:t>sí pues</w:t>
      </w:r>
      <w:r w:rsidR="000F1179">
        <w:t>,</w:t>
      </w:r>
      <w:r w:rsidR="000F1179" w:rsidRPr="00CB57E7">
        <w:t xml:space="preserve"> afirma que no hubo un traslado con la debida asesoría al ocultarse la información por parte del promotor de la AFP. Sin embargo, no declaró la ineficacia de la </w:t>
      </w:r>
      <w:r w:rsidR="000F1179">
        <w:t>afiliación y se apartó</w:t>
      </w:r>
      <w:r w:rsidR="000F1179" w:rsidRPr="00CB57E7">
        <w:t xml:space="preserve"> del precedente de la CSJ, argumentando que: 1</w:t>
      </w:r>
      <w:r w:rsidR="000F1179">
        <w:t>)</w:t>
      </w:r>
      <w:r w:rsidR="000F1179" w:rsidRPr="00CB57E7">
        <w:t xml:space="preserve"> no es posible que se premie a los fondos privados con los procesos de ineficacia de la afiliación al considerar que debe ser más severa su responsabilidad; 2) debe proceder la acción de resarcimiento de perjuicios en virtud del artículo 97 del decreto 663 de 1993 (Estatuto Orgánico </w:t>
      </w:r>
      <w:r w:rsidR="000F1179">
        <w:t>d</w:t>
      </w:r>
      <w:r w:rsidR="000F1179" w:rsidRPr="00CB57E7">
        <w:t>el Sistema Financiero), artículo 4 del decreto 656 de 1994 y el artículo 10 del decreto 720 de 1994; 3) menciona que la Su</w:t>
      </w:r>
      <w:r w:rsidR="000F1179">
        <w:t>perintendencia F</w:t>
      </w:r>
      <w:r w:rsidR="000F1179" w:rsidRPr="00CB57E7">
        <w:t xml:space="preserve">inanciera de Colombia tiene la función de inspección, vigilancia y control frente a las AFP y que en Circular 018 de enero de 2004, les recuerda el deber de información consagrado en el Estatuto Orgánico del Sistema Financiero, los procedimientos que debía realizar para la </w:t>
      </w:r>
      <w:r w:rsidR="000F1179" w:rsidRPr="00CB57E7">
        <w:lastRenderedPageBreak/>
        <w:t>protección de dicho deber y la responsabilidad del decreto 720 de 1994</w:t>
      </w:r>
      <w:r w:rsidR="000F1179">
        <w:t>, y</w:t>
      </w:r>
      <w:r w:rsidR="000F1179" w:rsidRPr="00CB57E7">
        <w:t xml:space="preserve"> 4) dice que </w:t>
      </w:r>
      <w:r w:rsidR="000F1179" w:rsidRPr="00CB57E7">
        <w:rPr>
          <w:rStyle w:val="xs2"/>
          <w:color w:val="201F1E"/>
          <w:bdr w:val="none" w:sz="0" w:space="0" w:color="auto" w:frame="1"/>
        </w:rPr>
        <w:t>las AFP deben pagar con su capital los perjuicios ocasionados por la omisión en la</w:t>
      </w:r>
      <w:r w:rsidR="000F1179">
        <w:rPr>
          <w:rStyle w:val="xs2"/>
          <w:color w:val="201F1E"/>
          <w:bdr w:val="none" w:sz="0" w:space="0" w:color="auto" w:frame="1"/>
        </w:rPr>
        <w:t xml:space="preserve"> información y no COLPENSIONES </w:t>
      </w:r>
      <w:r w:rsidR="000F1179" w:rsidRPr="00CB57E7">
        <w:rPr>
          <w:rStyle w:val="xs2"/>
          <w:color w:val="201F1E"/>
          <w:bdr w:val="none" w:sz="0" w:space="0" w:color="auto" w:frame="1"/>
        </w:rPr>
        <w:t xml:space="preserve">porque ello conllevaría a un detrimento del patrimonio público. </w:t>
      </w:r>
    </w:p>
    <w:p w14:paraId="151F9961" w14:textId="2714AA47" w:rsidR="000F1179" w:rsidRPr="00764635" w:rsidRDefault="00AB0F9E" w:rsidP="000F1179">
      <w:pPr>
        <w:spacing w:line="480" w:lineRule="auto"/>
        <w:ind w:firstLine="709"/>
      </w:pPr>
      <w:r>
        <w:rPr>
          <w:rStyle w:val="xs2"/>
          <w:color w:val="201F1E"/>
          <w:bdr w:val="none" w:sz="0" w:space="0" w:color="auto" w:frame="1"/>
        </w:rPr>
        <w:t xml:space="preserve">  Es por lo anterior</w:t>
      </w:r>
      <w:r w:rsidR="000F1179" w:rsidRPr="00764635">
        <w:rPr>
          <w:rStyle w:val="xs2"/>
          <w:color w:val="201F1E"/>
          <w:bdr w:val="none" w:sz="0" w:space="0" w:color="auto" w:frame="1"/>
        </w:rPr>
        <w:t xml:space="preserve"> que RESUE</w:t>
      </w:r>
      <w:r w:rsidR="00116528">
        <w:rPr>
          <w:rStyle w:val="xs2"/>
          <w:color w:val="201F1E"/>
          <w:bdr w:val="none" w:sz="0" w:space="0" w:color="auto" w:frame="1"/>
        </w:rPr>
        <w:t>L</w:t>
      </w:r>
      <w:r w:rsidR="000F1179" w:rsidRPr="00764635">
        <w:rPr>
          <w:rStyle w:val="xs2"/>
          <w:color w:val="201F1E"/>
          <w:bdr w:val="none" w:sz="0" w:space="0" w:color="auto" w:frame="1"/>
        </w:rPr>
        <w:t xml:space="preserve">VE </w:t>
      </w:r>
      <w:r w:rsidR="000F1179" w:rsidRPr="00764635">
        <w:t>obligar a la AFP a que reconozca el valor de la mesada pensional que reconocería COLPENSIONES, cuando la afiliada solicite la pensión para con ello resarcir el perjuicio ocasionado en el monto de la mesada pensional al ser inferior a la del Régimen de Prima Media con Prestación Definida y sostiene que el capital que se necesitará lo deberá pagar PORVENIR de su propio patrimonio.</w:t>
      </w:r>
    </w:p>
    <w:p w14:paraId="101252A6" w14:textId="38161003" w:rsidR="000F1179" w:rsidRDefault="000F1179" w:rsidP="000F1179">
      <w:pPr>
        <w:spacing w:line="480" w:lineRule="auto"/>
        <w:ind w:firstLine="709"/>
        <w:rPr>
          <w:bCs/>
          <w:iCs/>
        </w:rPr>
      </w:pPr>
      <w:r w:rsidRPr="00764635">
        <w:t xml:space="preserve">   La sentencia </w:t>
      </w:r>
      <w:r>
        <w:t>resulta</w:t>
      </w:r>
      <w:r w:rsidRPr="00764635">
        <w:t xml:space="preserve"> relevante para resaltar que hasta la fecha, existe otra posición distinta, a través de la cual los jueces se apartan del precedente y línea jurisprudencial de la Corte Suprema de Justicia en los casos de omisión al deber de información por parte de los promotores de las </w:t>
      </w:r>
      <w:r>
        <w:t xml:space="preserve">AFP. </w:t>
      </w:r>
      <w:r w:rsidRPr="00764635">
        <w:t xml:space="preserve">Sin embargo, no se comparte la decisión, por considerar que, con la declaratoria de la ineficacia de la afiliación, no se genera la consecuencia de un detrimento público de la nación, al acogerse el precedente de la CSJ y principalmente lo establecido en las sentencias SL1452 de 2019, SL 1421 del 2019, SL1688 de 2019 y la SL1689 de 2019, </w:t>
      </w:r>
      <w:r>
        <w:t xml:space="preserve">las cuales </w:t>
      </w:r>
      <w:r w:rsidRPr="00764635">
        <w:t xml:space="preserve">dejan </w:t>
      </w:r>
      <w:r>
        <w:t xml:space="preserve">en </w:t>
      </w:r>
      <w:r w:rsidRPr="00764635">
        <w:t xml:space="preserve">claro que </w:t>
      </w:r>
      <w:r w:rsidR="00723330">
        <w:t>la AFP debe retornar</w:t>
      </w:r>
      <w:r w:rsidR="00723330" w:rsidRPr="00764635">
        <w:t xml:space="preserve"> </w:t>
      </w:r>
      <w:r w:rsidR="00723330">
        <w:t>a Colpensiones,</w:t>
      </w:r>
      <w:r w:rsidR="00723330" w:rsidRPr="00764635">
        <w:t xml:space="preserve"> para que no haya un </w:t>
      </w:r>
      <w:r w:rsidR="00723330">
        <w:t>detrimento público</w:t>
      </w:r>
      <w:r w:rsidR="00723330" w:rsidRPr="00764635">
        <w:t xml:space="preserve">, </w:t>
      </w:r>
      <w:r w:rsidR="00723330" w:rsidRPr="00764635">
        <w:rPr>
          <w:bCs/>
          <w:iCs/>
        </w:rPr>
        <w:t>la total</w:t>
      </w:r>
      <w:r w:rsidR="00723330">
        <w:rPr>
          <w:bCs/>
          <w:iCs/>
        </w:rPr>
        <w:t>idad de los aportes efectuados</w:t>
      </w:r>
      <w:r w:rsidRPr="00764635">
        <w:rPr>
          <w:bCs/>
          <w:iCs/>
        </w:rPr>
        <w:t xml:space="preserve">, esto es, </w:t>
      </w:r>
      <w:r w:rsidR="00723330">
        <w:rPr>
          <w:bCs/>
          <w:iCs/>
        </w:rPr>
        <w:t>el porcentaje destinado a pensiones</w:t>
      </w:r>
      <w:r w:rsidRPr="00764635">
        <w:rPr>
          <w:bCs/>
          <w:iCs/>
        </w:rPr>
        <w:t xml:space="preserve">, </w:t>
      </w:r>
      <w:r w:rsidR="00723330">
        <w:rPr>
          <w:bCs/>
          <w:iCs/>
        </w:rPr>
        <w:t xml:space="preserve">el porcentaje destinado al fondo de garantía </w:t>
      </w:r>
      <w:r w:rsidR="00116528">
        <w:rPr>
          <w:bCs/>
          <w:iCs/>
        </w:rPr>
        <w:t xml:space="preserve">de pensión </w:t>
      </w:r>
      <w:r w:rsidR="00723330">
        <w:rPr>
          <w:bCs/>
          <w:iCs/>
        </w:rPr>
        <w:t>mínima,</w:t>
      </w:r>
      <w:r w:rsidRPr="00764635">
        <w:rPr>
          <w:bCs/>
          <w:iCs/>
        </w:rPr>
        <w:t xml:space="preserve"> los bonos pensionales</w:t>
      </w:r>
      <w:r w:rsidR="00723330">
        <w:rPr>
          <w:bCs/>
          <w:iCs/>
        </w:rPr>
        <w:t>,</w:t>
      </w:r>
      <w:r w:rsidRPr="00764635">
        <w:rPr>
          <w:bCs/>
          <w:iCs/>
        </w:rPr>
        <w:t xml:space="preserve"> los gastos de administración y las comisiones con cargo a sus propias utilidades, pues estos recursos han debido ingresar al RPM administrado por </w:t>
      </w:r>
      <w:r w:rsidR="00723330" w:rsidRPr="00764635">
        <w:rPr>
          <w:bCs/>
          <w:iCs/>
        </w:rPr>
        <w:t>Colpensiones</w:t>
      </w:r>
      <w:r w:rsidR="00723330">
        <w:rPr>
          <w:bCs/>
          <w:iCs/>
        </w:rPr>
        <w:t>.</w:t>
      </w:r>
    </w:p>
    <w:p w14:paraId="1A32F104" w14:textId="77777777" w:rsidR="004E68BE" w:rsidRDefault="004E68BE" w:rsidP="000F1179">
      <w:pPr>
        <w:spacing w:line="480" w:lineRule="auto"/>
        <w:ind w:firstLine="709"/>
        <w:rPr>
          <w:bCs/>
          <w:iCs/>
        </w:rPr>
      </w:pPr>
    </w:p>
    <w:p w14:paraId="6E8365F5" w14:textId="0B6E1697" w:rsidR="00800464" w:rsidRPr="00764635" w:rsidRDefault="0024789A" w:rsidP="00800464">
      <w:pPr>
        <w:spacing w:line="480" w:lineRule="auto"/>
        <w:rPr>
          <w:b/>
        </w:rPr>
      </w:pPr>
      <w:bookmarkStart w:id="14" w:name="Perjuicios"/>
      <w:r w:rsidRPr="00764635">
        <w:rPr>
          <w:b/>
        </w:rPr>
        <w:t>Indemnización de perjuicios</w:t>
      </w:r>
    </w:p>
    <w:bookmarkEnd w:id="14"/>
    <w:p w14:paraId="60EB71E1" w14:textId="789ADE4C" w:rsidR="009F2376" w:rsidRPr="00764635" w:rsidRDefault="009F2376" w:rsidP="008773F8">
      <w:pPr>
        <w:spacing w:line="480" w:lineRule="auto"/>
        <w:ind w:firstLine="709"/>
      </w:pPr>
      <w:r w:rsidRPr="00764635">
        <w:t>La jurisprudencia de la Corte Suprema de Justicia ha definido la indemnización de perjuicios así:</w:t>
      </w:r>
    </w:p>
    <w:p w14:paraId="437CB043" w14:textId="12240A3A" w:rsidR="009F2376" w:rsidRPr="00764635" w:rsidRDefault="009F2376" w:rsidP="008773F8">
      <w:pPr>
        <w:spacing w:line="480" w:lineRule="auto"/>
        <w:ind w:left="720"/>
      </w:pPr>
      <w:r w:rsidRPr="00764635">
        <w:t>El daño es entendido por la doctrina de esta Corte, como “la vulneración de un interés tutelado por el ordenamiento legal, a consecuencia de una acción u omisión humana, que repercute en una lesión a bienes como el patrimonio o la integridad personal, y frente al cual se impone una reacción a manera de reparación o, al menos, de satisfacción o consuelo cuando no es posible conseguir la desaparición del agravio”.</w:t>
      </w:r>
    </w:p>
    <w:p w14:paraId="3115F146" w14:textId="77777777" w:rsidR="009F2376" w:rsidRPr="00764635" w:rsidRDefault="009F2376" w:rsidP="008773F8">
      <w:pPr>
        <w:spacing w:line="480" w:lineRule="auto"/>
        <w:ind w:left="720"/>
      </w:pPr>
      <w:r w:rsidRPr="00764635">
        <w:t xml:space="preserve">El perjuicio es la consecuencia que se deriva del daño para la víctima del mismo, y la indemnización corresponde al resarcimiento o  pago del “(…) perjuicio que el daño ocasionó (…)”. </w:t>
      </w:r>
    </w:p>
    <w:p w14:paraId="75A5DC9B" w14:textId="34288BCA" w:rsidR="009F2376" w:rsidRPr="00764635" w:rsidRDefault="009F2376" w:rsidP="008773F8">
      <w:pPr>
        <w:spacing w:line="480" w:lineRule="auto"/>
        <w:ind w:left="720"/>
      </w:pPr>
      <w:r w:rsidRPr="00764635">
        <w:t>Este último para que sea reparable, debe ser inequívoco, real y no eventual o hipotético. Es decir, “(…) cierto y no puramente conjetural, [por cuanto] (…) no basta afirmarlo, puesto que es absolutamente imperativo que se acredite procesalmente con los medios de convicción regular y oportunamente decretados y arrimados al plenario (…)”.</w:t>
      </w:r>
    </w:p>
    <w:p w14:paraId="4DDBE926" w14:textId="24B41065" w:rsidR="009F2376" w:rsidRPr="00764635" w:rsidRDefault="009F2376" w:rsidP="008773F8">
      <w:pPr>
        <w:spacing w:line="480" w:lineRule="auto"/>
        <w:ind w:left="720"/>
      </w:pPr>
      <w:r w:rsidRPr="00764635">
        <w:t>En otras palabras, al margen de dejar establecida la autoría y existencia de un hecho injusto, el menoscabo que sufre una persona con ocasión del mismo, sólo podrá ser resarcible siempre y cuando demuestre su certidumbre, “porque la culpa, por censurable que sea, no los produce de suyo”. También debe ser directo, esto es, que el quebranto irrogado se haya originado “con ocasión ex</w:t>
      </w:r>
      <w:r w:rsidR="008773F8" w:rsidRPr="00764635">
        <w:t>clusiva del [suceso arbitrario]</w:t>
      </w:r>
      <w:r w:rsidRPr="00764635">
        <w:t xml:space="preserve"> (Sentencia SC2107-2018)</w:t>
      </w:r>
      <w:r w:rsidR="008773F8" w:rsidRPr="00764635">
        <w:t>.</w:t>
      </w:r>
    </w:p>
    <w:p w14:paraId="0AEDFEE2" w14:textId="6DE46DEC" w:rsidR="00E21876" w:rsidRPr="00764635" w:rsidRDefault="009F2376" w:rsidP="008773F8">
      <w:pPr>
        <w:spacing w:line="480" w:lineRule="auto"/>
        <w:ind w:firstLine="709"/>
      </w:pPr>
      <w:r w:rsidRPr="00764635">
        <w:lastRenderedPageBreak/>
        <w:t xml:space="preserve"> Corolario de lo anterior se puede concluir que habrá lugar a indemnización en materia de ineficacia del traslado cuando el afiliado logre demostrar que la actuación de la Administradora le ocasionó un daño y que como consecuencia de este se le ocasionó un perjuicio cierto que debe ser reparado.</w:t>
      </w:r>
    </w:p>
    <w:p w14:paraId="05C45F7F" w14:textId="375A8AF3" w:rsidR="008773F8" w:rsidRPr="00764635" w:rsidRDefault="008773F8" w:rsidP="008773F8">
      <w:pPr>
        <w:spacing w:line="480" w:lineRule="auto"/>
        <w:ind w:firstLine="709"/>
        <w:rPr>
          <w:lang w:val="es-CO"/>
        </w:rPr>
      </w:pPr>
      <w:r w:rsidRPr="00764635">
        <w:t xml:space="preserve">Respecto a la posibilidad de pretender la indemnización por los perjuicios ocasionados por </w:t>
      </w:r>
      <w:r w:rsidR="00865D15" w:rsidRPr="00764635">
        <w:t>la falta al deber de información por parte las AFP, l</w:t>
      </w:r>
      <w:r w:rsidRPr="00764635">
        <w:rPr>
          <w:lang w:val="es-CO"/>
        </w:rPr>
        <w:t xml:space="preserve">a jurisprudencia de la Sala </w:t>
      </w:r>
      <w:r w:rsidR="00767BCC">
        <w:rPr>
          <w:lang w:val="es-CO"/>
        </w:rPr>
        <w:t xml:space="preserve">de Casación </w:t>
      </w:r>
      <w:r w:rsidRPr="00764635">
        <w:rPr>
          <w:lang w:val="es-CO"/>
        </w:rPr>
        <w:t>Laboral en casos de ineficacia de</w:t>
      </w:r>
      <w:r w:rsidR="00A95893">
        <w:rPr>
          <w:lang w:val="es-CO"/>
        </w:rPr>
        <w:t xml:space="preserve"> </w:t>
      </w:r>
      <w:r w:rsidRPr="00764635">
        <w:rPr>
          <w:lang w:val="es-CO"/>
        </w:rPr>
        <w:t>l</w:t>
      </w:r>
      <w:r w:rsidR="00A95893">
        <w:rPr>
          <w:lang w:val="es-CO"/>
        </w:rPr>
        <w:t xml:space="preserve">a </w:t>
      </w:r>
      <w:r w:rsidR="00667C78">
        <w:rPr>
          <w:lang w:val="es-CO"/>
        </w:rPr>
        <w:t>afiliación</w:t>
      </w:r>
      <w:r w:rsidR="00A95893">
        <w:rPr>
          <w:lang w:val="es-CO"/>
        </w:rPr>
        <w:t xml:space="preserve"> o</w:t>
      </w:r>
      <w:r w:rsidRPr="00764635">
        <w:rPr>
          <w:lang w:val="es-CO"/>
        </w:rPr>
        <w:t xml:space="preserve"> traslado </w:t>
      </w:r>
      <w:r w:rsidR="00A95893">
        <w:rPr>
          <w:lang w:val="es-CO"/>
        </w:rPr>
        <w:t xml:space="preserve">de </w:t>
      </w:r>
      <w:r w:rsidR="00667C78">
        <w:rPr>
          <w:lang w:val="es-CO"/>
        </w:rPr>
        <w:t>régimen</w:t>
      </w:r>
      <w:r w:rsidR="00A95893">
        <w:rPr>
          <w:lang w:val="es-CO"/>
        </w:rPr>
        <w:t xml:space="preserve"> o de fondo, </w:t>
      </w:r>
      <w:r w:rsidRPr="00764635">
        <w:rPr>
          <w:lang w:val="es-CO"/>
        </w:rPr>
        <w:t>no es muy abundante, limitándose solo a recordar que los perjuicios deben estar plenamente demostrados para que proceda condena indemni</w:t>
      </w:r>
      <w:r w:rsidR="00865D15" w:rsidRPr="00764635">
        <w:rPr>
          <w:lang w:val="es-CO"/>
        </w:rPr>
        <w:t>zatoria (Sentencia SL1688-2019), lo cual no resulta en la inviabilidad de que estos puedan ser pretendidos junto con la ineficacia y/o nulidad del traslado.</w:t>
      </w:r>
    </w:p>
    <w:p w14:paraId="1768515E" w14:textId="37254B77" w:rsidR="00BC2556" w:rsidRPr="00764635" w:rsidRDefault="0024789A" w:rsidP="008111C1">
      <w:pPr>
        <w:spacing w:line="480" w:lineRule="auto"/>
        <w:ind w:firstLine="709"/>
        <w:rPr>
          <w:lang w:val="es-CO"/>
        </w:rPr>
      </w:pPr>
      <w:r>
        <w:rPr>
          <w:lang w:val="es-CO"/>
        </w:rPr>
        <w:t>Por lo tanto,</w:t>
      </w:r>
      <w:r w:rsidR="00E16995" w:rsidRPr="00764635">
        <w:rPr>
          <w:lang w:val="es-CO"/>
        </w:rPr>
        <w:t xml:space="preserve"> se hace necesario </w:t>
      </w:r>
      <w:r w:rsidR="00BE0CDA" w:rsidRPr="00764635">
        <w:rPr>
          <w:lang w:val="es-CO"/>
        </w:rPr>
        <w:t xml:space="preserve">resaltar lo establecido por la doctrina </w:t>
      </w:r>
      <w:r w:rsidR="001C3AC4" w:rsidRPr="00764635">
        <w:rPr>
          <w:lang w:val="es-CO"/>
        </w:rPr>
        <w:t xml:space="preserve">y jurisprudencia </w:t>
      </w:r>
      <w:r w:rsidR="00C07E4E" w:rsidRPr="00764635">
        <w:rPr>
          <w:lang w:val="es-CO"/>
        </w:rPr>
        <w:t>f</w:t>
      </w:r>
      <w:r w:rsidR="00BE0CDA" w:rsidRPr="00764635">
        <w:rPr>
          <w:lang w:val="es-CO"/>
        </w:rPr>
        <w:t xml:space="preserve">rente a </w:t>
      </w:r>
      <w:r w:rsidR="00BC2556" w:rsidRPr="00764635">
        <w:rPr>
          <w:lang w:val="es-CO"/>
        </w:rPr>
        <w:t xml:space="preserve">los daños y </w:t>
      </w:r>
      <w:r w:rsidR="00BE0CDA" w:rsidRPr="00764635">
        <w:rPr>
          <w:lang w:val="es-CO"/>
        </w:rPr>
        <w:t>perjuicios extrapa</w:t>
      </w:r>
      <w:r w:rsidR="00BC2556" w:rsidRPr="00764635">
        <w:rPr>
          <w:lang w:val="es-CO"/>
        </w:rPr>
        <w:t>trimoniales</w:t>
      </w:r>
      <w:r w:rsidR="00BE0CDA" w:rsidRPr="00764635">
        <w:rPr>
          <w:lang w:val="es-CO"/>
        </w:rPr>
        <w:t xml:space="preserve">, con el fin de </w:t>
      </w:r>
      <w:r w:rsidR="00CC69F5">
        <w:rPr>
          <w:lang w:val="es-CO"/>
        </w:rPr>
        <w:t>cont</w:t>
      </w:r>
      <w:r w:rsidR="00C07E4E" w:rsidRPr="00764635">
        <w:rPr>
          <w:lang w:val="es-CO"/>
        </w:rPr>
        <w:t xml:space="preserve">ar con criterios claros y </w:t>
      </w:r>
      <w:r w:rsidR="00BE0CDA" w:rsidRPr="00764635">
        <w:rPr>
          <w:lang w:val="es-CO"/>
        </w:rPr>
        <w:t>exponer argumentos que sirvan como base para solicitar de manera adecuada</w:t>
      </w:r>
      <w:r w:rsidR="00C07E4E" w:rsidRPr="00764635">
        <w:rPr>
          <w:lang w:val="es-CO"/>
        </w:rPr>
        <w:t>, por parte del afiliado,</w:t>
      </w:r>
      <w:r w:rsidR="00BE0CDA" w:rsidRPr="00764635">
        <w:rPr>
          <w:lang w:val="es-CO"/>
        </w:rPr>
        <w:t xml:space="preserve"> los posibles perjuicios</w:t>
      </w:r>
      <w:r w:rsidR="00397F33" w:rsidRPr="00764635">
        <w:rPr>
          <w:lang w:val="es-CO"/>
        </w:rPr>
        <w:t xml:space="preserve"> extrapatrimoniales </w:t>
      </w:r>
      <w:r w:rsidR="00C07E4E" w:rsidRPr="00764635">
        <w:rPr>
          <w:lang w:val="es-CO"/>
        </w:rPr>
        <w:t xml:space="preserve">que puedan derivarse </w:t>
      </w:r>
      <w:r w:rsidR="00BC2556" w:rsidRPr="00764635">
        <w:rPr>
          <w:lang w:val="es-CO"/>
        </w:rPr>
        <w:t xml:space="preserve">como consecuencia de la </w:t>
      </w:r>
      <w:r w:rsidR="00667C78" w:rsidRPr="00764635">
        <w:rPr>
          <w:lang w:val="es-CO"/>
        </w:rPr>
        <w:t>omisión</w:t>
      </w:r>
      <w:r w:rsidR="00BE0CDA" w:rsidRPr="00764635">
        <w:rPr>
          <w:lang w:val="es-CO"/>
        </w:rPr>
        <w:t xml:space="preserve"> al deber de información </w:t>
      </w:r>
      <w:r w:rsidR="00397F33" w:rsidRPr="00764635">
        <w:rPr>
          <w:lang w:val="es-CO"/>
        </w:rPr>
        <w:t xml:space="preserve">por parte de los promotores de las </w:t>
      </w:r>
      <w:r w:rsidR="008923AF">
        <w:rPr>
          <w:lang w:val="es-CO"/>
        </w:rPr>
        <w:t>AFP</w:t>
      </w:r>
      <w:r w:rsidR="00397F33" w:rsidRPr="00764635">
        <w:rPr>
          <w:lang w:val="es-CO"/>
        </w:rPr>
        <w:t xml:space="preserve"> al momento del acto jurídico de </w:t>
      </w:r>
      <w:r w:rsidR="00C07E4E" w:rsidRPr="00764635">
        <w:rPr>
          <w:lang w:val="es-CO"/>
        </w:rPr>
        <w:t xml:space="preserve">afiliación o traslado de fondo por omitir: 1) el deber de información consagrado en el artículo 97 del decreto 663 de 1993 y 2)  la </w:t>
      </w:r>
      <w:r w:rsidR="00667C78" w:rsidRPr="00764635">
        <w:rPr>
          <w:lang w:val="es-CO"/>
        </w:rPr>
        <w:t>obligación</w:t>
      </w:r>
      <w:r w:rsidR="00C07E4E" w:rsidRPr="00764635">
        <w:rPr>
          <w:lang w:val="es-CO"/>
        </w:rPr>
        <w:t xml:space="preserve"> de prestar en forma eficiente, eficaz y oportuna los servicios inherentes a la calidad de AFP, consagrada en el artículo 4 del decreto 656 de 1994.  </w:t>
      </w:r>
    </w:p>
    <w:p w14:paraId="7419F6D0" w14:textId="66609778" w:rsidR="00BC2556" w:rsidRPr="003E4D00" w:rsidRDefault="00FB2509" w:rsidP="003E4D00">
      <w:pPr>
        <w:spacing w:line="480" w:lineRule="auto"/>
        <w:ind w:firstLine="709"/>
        <w:rPr>
          <w:lang w:val="es-CO"/>
        </w:rPr>
      </w:pPr>
      <w:r w:rsidRPr="00764635">
        <w:rPr>
          <w:lang w:val="es-CO"/>
        </w:rPr>
        <w:t>Además</w:t>
      </w:r>
      <w:r w:rsidR="00C07E4E" w:rsidRPr="00764635">
        <w:rPr>
          <w:lang w:val="es-CO"/>
        </w:rPr>
        <w:t xml:space="preserve"> </w:t>
      </w:r>
      <w:r w:rsidR="00BC2556" w:rsidRPr="00764635">
        <w:rPr>
          <w:lang w:val="es-ES"/>
        </w:rPr>
        <w:t xml:space="preserve">brindar herramientas para identificar </w:t>
      </w:r>
      <w:r w:rsidR="00C07E4E" w:rsidRPr="00764635">
        <w:rPr>
          <w:lang w:val="es-ES"/>
        </w:rPr>
        <w:t xml:space="preserve">un método de cuantificación del daño que permita establecer el valor de la indemnización que debe pagar la AFP que causó el daño </w:t>
      </w:r>
      <w:r w:rsidR="00BC2556" w:rsidRPr="00764635">
        <w:rPr>
          <w:lang w:val="es-ES"/>
        </w:rPr>
        <w:t xml:space="preserve">extrapatrimonial </w:t>
      </w:r>
      <w:r w:rsidR="00C07E4E" w:rsidRPr="00764635">
        <w:rPr>
          <w:lang w:val="es-ES"/>
        </w:rPr>
        <w:t>al afil</w:t>
      </w:r>
      <w:r w:rsidR="008111C1" w:rsidRPr="00764635">
        <w:rPr>
          <w:lang w:val="es-ES"/>
        </w:rPr>
        <w:t xml:space="preserve">iado con el fin de que surta una adecuada y </w:t>
      </w:r>
      <w:r w:rsidR="008111C1" w:rsidRPr="00764635">
        <w:rPr>
          <w:lang w:val="es-ES"/>
        </w:rPr>
        <w:lastRenderedPageBreak/>
        <w:t xml:space="preserve">equitativa compensación. </w:t>
      </w:r>
      <w:r w:rsidR="001C3AC4" w:rsidRPr="00764635">
        <w:rPr>
          <w:lang w:val="es-CO"/>
        </w:rPr>
        <w:t xml:space="preserve"> </w:t>
      </w:r>
      <w:r w:rsidR="003E4D00" w:rsidRPr="003E4D00">
        <w:rPr>
          <w:lang w:val="es-CO"/>
        </w:rPr>
        <w:t>Así,</w:t>
      </w:r>
      <w:r w:rsidR="001C3AC4" w:rsidRPr="003E4D00">
        <w:rPr>
          <w:lang w:val="es-CO"/>
        </w:rPr>
        <w:t xml:space="preserve"> </w:t>
      </w:r>
      <w:r w:rsidR="003E4D00" w:rsidRPr="003E4D00">
        <w:rPr>
          <w:lang w:val="es-CO"/>
        </w:rPr>
        <w:t>l</w:t>
      </w:r>
      <w:r w:rsidR="001C3AC4" w:rsidRPr="003E4D00">
        <w:rPr>
          <w:lang w:val="es-CO"/>
        </w:rPr>
        <w:t>a doctrinante María Cristina Isaza Posse</w:t>
      </w:r>
      <w:r w:rsidR="00BC2556" w:rsidRPr="003E4D00">
        <w:rPr>
          <w:lang w:val="es-CO"/>
        </w:rPr>
        <w:t xml:space="preserve"> </w:t>
      </w:r>
      <w:r w:rsidR="0049315E">
        <w:rPr>
          <w:lang w:val="es-CO"/>
        </w:rPr>
        <w:t>ha dicho lo siguiente</w:t>
      </w:r>
      <w:r w:rsidR="00BC2556" w:rsidRPr="003E4D00">
        <w:rPr>
          <w:lang w:val="es-CO"/>
        </w:rPr>
        <w:t>:</w:t>
      </w:r>
    </w:p>
    <w:p w14:paraId="74D3B51D" w14:textId="32446DDC" w:rsidR="003E4D00" w:rsidRDefault="00BC2556" w:rsidP="005E1ADA">
      <w:pPr>
        <w:spacing w:line="480" w:lineRule="auto"/>
        <w:ind w:left="720"/>
        <w:rPr>
          <w:lang w:val="es-ES"/>
        </w:rPr>
      </w:pPr>
      <w:r w:rsidRPr="00764635">
        <w:rPr>
          <w:b/>
          <w:lang w:val="es-CO"/>
        </w:rPr>
        <w:t xml:space="preserve">  </w:t>
      </w:r>
      <w:r w:rsidR="00767BCC">
        <w:rPr>
          <w:b/>
          <w:lang w:val="es-CO"/>
        </w:rPr>
        <w:t>“</w:t>
      </w:r>
      <w:r w:rsidR="001C3AC4" w:rsidRPr="00764635">
        <w:rPr>
          <w:lang w:val="es-ES"/>
        </w:rPr>
        <w:t>La finalidad del resarcimiento de perjuicios consiste en “restablecer la situación del perjudicado al estado anterior a la ocurrencia del daño, pero ello no es siempre posible, por lo que, se acude al pago de una suma de dinero de naturaleza compensatoria en razón de la natural</w:t>
      </w:r>
      <w:r w:rsidR="003E4D00">
        <w:rPr>
          <w:lang w:val="es-ES"/>
        </w:rPr>
        <w:t>eza del perjuicio sufrido</w:t>
      </w:r>
      <w:r w:rsidR="001C3AC4" w:rsidRPr="00764635">
        <w:rPr>
          <w:lang w:val="es-ES"/>
        </w:rPr>
        <w:t xml:space="preserve">. </w:t>
      </w:r>
    </w:p>
    <w:p w14:paraId="12D0FB03" w14:textId="78D80D4C" w:rsidR="001C3AC4" w:rsidRPr="00764635" w:rsidRDefault="00BC2556" w:rsidP="003E4D00">
      <w:pPr>
        <w:spacing w:line="480" w:lineRule="auto"/>
        <w:ind w:left="709"/>
        <w:rPr>
          <w:lang w:val="es-ES"/>
        </w:rPr>
      </w:pPr>
      <w:r w:rsidRPr="00764635">
        <w:rPr>
          <w:lang w:val="es-ES"/>
        </w:rPr>
        <w:t>(…)</w:t>
      </w:r>
    </w:p>
    <w:p w14:paraId="59DFA9DE" w14:textId="2498631C" w:rsidR="00BC2556" w:rsidRPr="00764635" w:rsidRDefault="00BC2556" w:rsidP="003E4D00">
      <w:pPr>
        <w:spacing w:line="480" w:lineRule="auto"/>
        <w:ind w:left="709"/>
        <w:rPr>
          <w:lang w:val="es-ES"/>
        </w:rPr>
      </w:pPr>
      <w:r w:rsidRPr="00764635">
        <w:rPr>
          <w:lang w:val="es-ES"/>
        </w:rPr>
        <w:t xml:space="preserve">El </w:t>
      </w:r>
      <w:r w:rsidRPr="003E4D00">
        <w:rPr>
          <w:lang w:val="es-ES"/>
        </w:rPr>
        <w:t>perjuicio extrapatrimonial</w:t>
      </w:r>
      <w:r w:rsidRPr="00764635">
        <w:rPr>
          <w:lang w:val="es-ES"/>
        </w:rPr>
        <w:t xml:space="preserve"> es el daño que se refiere a una esfera distinta de la patrimonial, que toca el fuero interno de las personas, en sus sentimientos y emociones. En consideración a que estos responden a criterios judiciales aplicados</w:t>
      </w:r>
      <w:r w:rsidR="00D30643" w:rsidRPr="00764635">
        <w:rPr>
          <w:lang w:val="es-ES"/>
        </w:rPr>
        <w:t xml:space="preserve"> en cada caso particular, es el juez quien define su valor, el cual será incluido dentro del total de la indemnización a cargo del responsable del daño. Siguiendo la tendencia jurisprudencial se encuentran las siguientes modalidades de perjuicio extrapatrimonial: 1) daño moral; 2) daño a la vida en relación; 3) otros daños extrapatrimoniales como el daño estético, psíquico y la pérdida de la oportunidad marital; y 4) otros como la afectación o vulneración a otros bienes o derechos convencionales y constitucionalmente amparados</w:t>
      </w:r>
      <w:r w:rsidR="003E4D00">
        <w:rPr>
          <w:lang w:val="es-ES"/>
        </w:rPr>
        <w:t>.</w:t>
      </w:r>
      <w:r w:rsidR="00D30643" w:rsidRPr="00764635">
        <w:rPr>
          <w:lang w:val="es-ES"/>
        </w:rPr>
        <w:t xml:space="preserve">  </w:t>
      </w:r>
    </w:p>
    <w:p w14:paraId="4D0EB56D" w14:textId="18C3FBA0" w:rsidR="00D30643" w:rsidRPr="00764635" w:rsidRDefault="00D30643" w:rsidP="005E1ADA">
      <w:pPr>
        <w:spacing w:line="480" w:lineRule="auto"/>
        <w:ind w:firstLine="709"/>
        <w:rPr>
          <w:b/>
          <w:lang w:val="es-ES"/>
        </w:rPr>
      </w:pPr>
      <w:r w:rsidRPr="00764635">
        <w:rPr>
          <w:lang w:val="es-ES"/>
        </w:rPr>
        <w:t xml:space="preserve">En cuanto al </w:t>
      </w:r>
      <w:r w:rsidR="003E4D00">
        <w:rPr>
          <w:b/>
          <w:u w:val="single"/>
          <w:lang w:val="es-ES"/>
        </w:rPr>
        <w:t>D</w:t>
      </w:r>
      <w:r w:rsidRPr="003E4D00">
        <w:rPr>
          <w:b/>
          <w:u w:val="single"/>
          <w:lang w:val="es-ES"/>
        </w:rPr>
        <w:t xml:space="preserve">año </w:t>
      </w:r>
      <w:r w:rsidR="003E4D00">
        <w:rPr>
          <w:b/>
          <w:u w:val="single"/>
          <w:lang w:val="es-ES"/>
        </w:rPr>
        <w:t>M</w:t>
      </w:r>
      <w:r w:rsidRPr="003E4D00">
        <w:rPr>
          <w:b/>
          <w:u w:val="single"/>
          <w:lang w:val="es-ES"/>
        </w:rPr>
        <w:t>oral</w:t>
      </w:r>
      <w:r w:rsidR="005E1ADA">
        <w:rPr>
          <w:lang w:val="es-ES"/>
        </w:rPr>
        <w:t xml:space="preserve"> la jurisprudencia de la </w:t>
      </w:r>
      <w:r w:rsidR="0049315E">
        <w:rPr>
          <w:lang w:val="es-ES"/>
        </w:rPr>
        <w:t>Corte Suprema de Justicia</w:t>
      </w:r>
      <w:r w:rsidR="005E1ADA">
        <w:rPr>
          <w:lang w:val="es-ES"/>
        </w:rPr>
        <w:t xml:space="preserve"> ha precisado</w:t>
      </w:r>
      <w:r w:rsidR="0049315E">
        <w:rPr>
          <w:lang w:val="es-ES"/>
        </w:rPr>
        <w:t xml:space="preserve"> lo siguiente:</w:t>
      </w:r>
    </w:p>
    <w:p w14:paraId="4852F95A" w14:textId="40F98917" w:rsidR="00D30643" w:rsidRPr="00764635" w:rsidRDefault="00A035BD" w:rsidP="0049315E">
      <w:pPr>
        <w:spacing w:line="480" w:lineRule="auto"/>
        <w:ind w:left="709"/>
        <w:rPr>
          <w:lang w:val="es-ES"/>
        </w:rPr>
      </w:pPr>
      <w:r w:rsidRPr="00764635">
        <w:rPr>
          <w:lang w:val="es-ES"/>
        </w:rPr>
        <w:t>E</w:t>
      </w:r>
      <w:r w:rsidR="00D30643" w:rsidRPr="00764635">
        <w:rPr>
          <w:lang w:val="es-ES"/>
        </w:rPr>
        <w:t xml:space="preserve">l daño moral, en sentido lato, está circunscrito a la lesión de la esfera sentimental y afectiva del sujeto, que corresponde a la </w:t>
      </w:r>
      <w:r w:rsidR="00667C78" w:rsidRPr="00764635">
        <w:rPr>
          <w:lang w:val="es-ES"/>
        </w:rPr>
        <w:t>órbita</w:t>
      </w:r>
      <w:r w:rsidR="00D30643" w:rsidRPr="00764635">
        <w:rPr>
          <w:lang w:val="es-ES"/>
        </w:rPr>
        <w:t xml:space="preserve"> subjetiva, </w:t>
      </w:r>
      <w:r w:rsidR="00AC45D1">
        <w:rPr>
          <w:lang w:val="es-ES"/>
        </w:rPr>
        <w:t>í</w:t>
      </w:r>
      <w:r w:rsidR="00D30643" w:rsidRPr="00764635">
        <w:rPr>
          <w:lang w:val="es-ES"/>
        </w:rPr>
        <w:t xml:space="preserve">ntima o interna del individuo” </w:t>
      </w:r>
      <w:r w:rsidR="00D30643" w:rsidRPr="0049315E">
        <w:rPr>
          <w:lang w:val="es-ES"/>
        </w:rPr>
        <w:t>(</w:t>
      </w:r>
      <w:r w:rsidR="00AC45D1">
        <w:rPr>
          <w:lang w:val="es-ES"/>
        </w:rPr>
        <w:t>C</w:t>
      </w:r>
      <w:r w:rsidR="00D30643" w:rsidRPr="0049315E">
        <w:rPr>
          <w:lang w:val="es-ES"/>
        </w:rPr>
        <w:t xml:space="preserve">as. </w:t>
      </w:r>
      <w:proofErr w:type="spellStart"/>
      <w:r w:rsidR="00D30643" w:rsidRPr="0049315E">
        <w:rPr>
          <w:lang w:val="es-ES"/>
        </w:rPr>
        <w:t>Civ</w:t>
      </w:r>
      <w:proofErr w:type="spellEnd"/>
      <w:r w:rsidR="00D30643" w:rsidRPr="0049315E">
        <w:rPr>
          <w:lang w:val="es-ES"/>
        </w:rPr>
        <w:t xml:space="preserve">., </w:t>
      </w:r>
      <w:proofErr w:type="spellStart"/>
      <w:r w:rsidR="00D30643" w:rsidRPr="0049315E">
        <w:rPr>
          <w:lang w:val="es-ES"/>
        </w:rPr>
        <w:t>sent</w:t>
      </w:r>
      <w:proofErr w:type="spellEnd"/>
      <w:r w:rsidR="00D30643" w:rsidRPr="0049315E">
        <w:rPr>
          <w:lang w:val="es-ES"/>
        </w:rPr>
        <w:t xml:space="preserve"> 13 de mayo 2008, SC – 035-2008, </w:t>
      </w:r>
      <w:proofErr w:type="spellStart"/>
      <w:r w:rsidR="00D30643" w:rsidRPr="0049315E">
        <w:rPr>
          <w:lang w:val="es-ES"/>
        </w:rPr>
        <w:t>exp</w:t>
      </w:r>
      <w:proofErr w:type="spellEnd"/>
      <w:r w:rsidR="00D30643" w:rsidRPr="0049315E">
        <w:rPr>
          <w:lang w:val="es-ES"/>
        </w:rPr>
        <w:t>. 11001-31-0-006-1997-09327-01),</w:t>
      </w:r>
      <w:r w:rsidR="00D30643" w:rsidRPr="00764635">
        <w:rPr>
          <w:lang w:val="es-ES"/>
        </w:rPr>
        <w:t xml:space="preserve"> de ordinario explicitado material u </w:t>
      </w:r>
      <w:r w:rsidR="00D30643" w:rsidRPr="00764635">
        <w:rPr>
          <w:lang w:val="es-ES"/>
        </w:rPr>
        <w:lastRenderedPageBreak/>
        <w:t>objetivamente por el dolor, la pesadumbre, perturbación de ánimo, el sufrimiento espiritual, el pesar, la congoja, aflicción, sufrimiento, pena, a</w:t>
      </w:r>
      <w:r w:rsidR="00947451">
        <w:rPr>
          <w:lang w:val="es-ES"/>
        </w:rPr>
        <w:t xml:space="preserve">ngustia, zozobra, perturbación </w:t>
      </w:r>
      <w:r w:rsidR="00D30643" w:rsidRPr="00764635">
        <w:rPr>
          <w:lang w:val="es-ES"/>
        </w:rPr>
        <w:t>anímica, desolación, impotencia u otros signos expresivos, concretándose en el menoscabo de los sentimientos, de los afectos de la víctima, y por tanto, en el</w:t>
      </w:r>
      <w:r w:rsidRPr="00764635">
        <w:rPr>
          <w:lang w:val="es-ES"/>
        </w:rPr>
        <w:t xml:space="preserve"> sufrimiento moral, en el dolor que la persona tiene que soportar por cierto evento dañoso </w:t>
      </w:r>
      <w:r w:rsidRPr="001D4A42">
        <w:rPr>
          <w:lang w:val="es-ES"/>
        </w:rPr>
        <w:t>(RENA</w:t>
      </w:r>
      <w:r w:rsidR="00500B01" w:rsidRPr="001D4A42">
        <w:rPr>
          <w:lang w:val="es-ES"/>
        </w:rPr>
        <w:t>T</w:t>
      </w:r>
      <w:r w:rsidRPr="001D4A42">
        <w:rPr>
          <w:lang w:val="es-ES"/>
        </w:rPr>
        <w:t xml:space="preserve">O SCOGNAMIGLIO, voz. Daños morales, en </w:t>
      </w:r>
      <w:proofErr w:type="spellStart"/>
      <w:r w:rsidRPr="001D4A42">
        <w:rPr>
          <w:lang w:val="es-ES"/>
        </w:rPr>
        <w:t>Novisimo</w:t>
      </w:r>
      <w:proofErr w:type="spellEnd"/>
      <w:r w:rsidRPr="001D4A42">
        <w:rPr>
          <w:lang w:val="es-ES"/>
        </w:rPr>
        <w:t xml:space="preserve"> Digesto Italiano, vol. V, Turín, </w:t>
      </w:r>
      <w:proofErr w:type="spellStart"/>
      <w:r w:rsidRPr="001D4A42">
        <w:rPr>
          <w:lang w:val="es-ES"/>
        </w:rPr>
        <w:t>Utet</w:t>
      </w:r>
      <w:proofErr w:type="spellEnd"/>
      <w:r w:rsidRPr="001D4A42">
        <w:rPr>
          <w:lang w:val="es-ES"/>
        </w:rPr>
        <w:t xml:space="preserve">, 1960, </w:t>
      </w:r>
      <w:proofErr w:type="spellStart"/>
      <w:r w:rsidRPr="001D4A42">
        <w:rPr>
          <w:lang w:val="es-ES"/>
        </w:rPr>
        <w:t>pag</w:t>
      </w:r>
      <w:proofErr w:type="spellEnd"/>
      <w:r w:rsidRPr="001D4A42">
        <w:rPr>
          <w:lang w:val="es-ES"/>
        </w:rPr>
        <w:t xml:space="preserve">. 147; Id., ii </w:t>
      </w:r>
      <w:proofErr w:type="spellStart"/>
      <w:r w:rsidRPr="001D4A42">
        <w:rPr>
          <w:lang w:val="es-ES"/>
        </w:rPr>
        <w:t>danno</w:t>
      </w:r>
      <w:proofErr w:type="spellEnd"/>
      <w:r w:rsidRPr="001D4A42">
        <w:rPr>
          <w:lang w:val="es-ES"/>
        </w:rPr>
        <w:t xml:space="preserve"> </w:t>
      </w:r>
      <w:proofErr w:type="spellStart"/>
      <w:r w:rsidRPr="001D4A42">
        <w:rPr>
          <w:lang w:val="es-ES"/>
        </w:rPr>
        <w:t>mora</w:t>
      </w:r>
      <w:r w:rsidR="00500B01" w:rsidRPr="001D4A42">
        <w:rPr>
          <w:lang w:val="es-ES"/>
        </w:rPr>
        <w:t>le</w:t>
      </w:r>
      <w:proofErr w:type="spellEnd"/>
      <w:r w:rsidR="00500B01" w:rsidRPr="001D4A42">
        <w:rPr>
          <w:lang w:val="es-ES"/>
        </w:rPr>
        <w:t>. Milano, 1996; el daño moral).</w:t>
      </w:r>
      <w:r w:rsidRPr="00764635">
        <w:rPr>
          <w:lang w:val="es-ES"/>
        </w:rPr>
        <w:t xml:space="preserve"> </w:t>
      </w:r>
    </w:p>
    <w:p w14:paraId="68FFEBAF" w14:textId="1D9FBCBE" w:rsidR="00A035BD" w:rsidRPr="00764635" w:rsidRDefault="00C26C2E" w:rsidP="00F63927">
      <w:pPr>
        <w:spacing w:line="480" w:lineRule="auto"/>
        <w:ind w:left="709"/>
        <w:rPr>
          <w:lang w:val="es-ES"/>
        </w:rPr>
      </w:pPr>
      <w:r w:rsidRPr="00764635">
        <w:rPr>
          <w:lang w:val="es-ES"/>
        </w:rPr>
        <w:t>En efecto, el daño moral aún en la hipótesis de provenir de la lesión concurrente de otros intereses, es una entidad separada e independiente, cuyo resarcimiento es diferente, al tratarse recta y exclusivamente, del detrimento experimentado por el sujeto en su espectro interior, afectivo y sentimental, sin comprender su órbita exterior, proyecto, calidad de vida, a</w:t>
      </w:r>
      <w:r w:rsidR="00500B01">
        <w:rPr>
          <w:lang w:val="es-ES"/>
        </w:rPr>
        <w:t>ctividad o desarrollo vivencial.</w:t>
      </w:r>
      <w:r w:rsidR="00F63927">
        <w:rPr>
          <w:lang w:val="es-ES"/>
        </w:rPr>
        <w:t xml:space="preserve"> </w:t>
      </w:r>
      <w:r w:rsidRPr="00764635">
        <w:rPr>
          <w:lang w:val="es-ES"/>
        </w:rPr>
        <w:t>(…)</w:t>
      </w:r>
    </w:p>
    <w:p w14:paraId="1A24321C" w14:textId="17EA9461" w:rsidR="00C26C2E" w:rsidRDefault="00C26C2E" w:rsidP="00A85262">
      <w:pPr>
        <w:spacing w:line="480" w:lineRule="auto"/>
        <w:ind w:left="709"/>
        <w:rPr>
          <w:lang w:val="es-ES"/>
        </w:rPr>
      </w:pPr>
      <w:r w:rsidRPr="00764635">
        <w:rPr>
          <w:lang w:val="es-ES"/>
        </w:rPr>
        <w:t xml:space="preserve">En sentido análogo, su reparación es singular e individual y no se contiene en la de otros daños, respecto de los cuales se distingue por su especificidad al recaer únicamente en los sentimientos y afectos, a consecuencia del quebranto de derechos, intereses o valores de naturaleza, ya patrimonial, bien no patrimonial, con los cuales no se confunde </w:t>
      </w:r>
      <w:r w:rsidRPr="0049315E">
        <w:rPr>
          <w:lang w:val="es-ES"/>
        </w:rPr>
        <w:t>(</w:t>
      </w:r>
      <w:r w:rsidR="00A85262">
        <w:rPr>
          <w:lang w:val="es-ES"/>
        </w:rPr>
        <w:t>Sentencia del 18 septiembre 2009 Nro.</w:t>
      </w:r>
      <w:r w:rsidRPr="0049315E">
        <w:rPr>
          <w:lang w:val="es-ES"/>
        </w:rPr>
        <w:t xml:space="preserve"> 001-3103-005-2005-00406-01</w:t>
      </w:r>
      <w:r w:rsidR="00A85262">
        <w:rPr>
          <w:lang w:val="es-ES"/>
        </w:rPr>
        <w:t>).</w:t>
      </w:r>
    </w:p>
    <w:p w14:paraId="01AA2D50" w14:textId="1E9D05CD" w:rsidR="00C26C2E" w:rsidRPr="00764635" w:rsidRDefault="00C26C2E" w:rsidP="006F41A1">
      <w:pPr>
        <w:spacing w:line="480" w:lineRule="auto"/>
        <w:ind w:firstLine="709"/>
        <w:rPr>
          <w:lang w:val="es-ES"/>
        </w:rPr>
      </w:pPr>
      <w:r w:rsidRPr="00764635">
        <w:rPr>
          <w:lang w:val="es-ES"/>
        </w:rPr>
        <w:t xml:space="preserve">Teniendo en cuenta lo anterior, se encuentran dos posiciones distintas dependiendo si el daño moral proviene de la pérdida o daño de las cosas o del perjuicio sufrido por las personas en su integridad física. </w:t>
      </w:r>
    </w:p>
    <w:p w14:paraId="08F44472" w14:textId="7100DF92" w:rsidR="00C26C2E" w:rsidRPr="00764635" w:rsidRDefault="00C26C2E" w:rsidP="006F41A1">
      <w:pPr>
        <w:spacing w:line="480" w:lineRule="auto"/>
        <w:ind w:firstLine="709"/>
        <w:rPr>
          <w:lang w:val="es-ES"/>
        </w:rPr>
      </w:pPr>
      <w:r w:rsidRPr="00764635">
        <w:rPr>
          <w:lang w:val="es-ES"/>
        </w:rPr>
        <w:lastRenderedPageBreak/>
        <w:t xml:space="preserve">Frente </w:t>
      </w:r>
      <w:r w:rsidR="00E93277" w:rsidRPr="00764635">
        <w:rPr>
          <w:lang w:val="es-ES"/>
        </w:rPr>
        <w:t xml:space="preserve">al </w:t>
      </w:r>
      <w:r w:rsidR="00823C3D">
        <w:rPr>
          <w:b/>
          <w:u w:val="single"/>
          <w:lang w:val="es-ES"/>
        </w:rPr>
        <w:t>D</w:t>
      </w:r>
      <w:r w:rsidR="00E93277" w:rsidRPr="00823C3D">
        <w:rPr>
          <w:b/>
          <w:u w:val="single"/>
          <w:lang w:val="es-ES"/>
        </w:rPr>
        <w:t>año moral</w:t>
      </w:r>
      <w:r w:rsidR="00E93277" w:rsidRPr="00823C3D">
        <w:rPr>
          <w:u w:val="single"/>
          <w:lang w:val="es-ES"/>
        </w:rPr>
        <w:t xml:space="preserve"> </w:t>
      </w:r>
      <w:r w:rsidR="00E93277" w:rsidRPr="00823C3D">
        <w:rPr>
          <w:b/>
          <w:u w:val="single"/>
          <w:lang w:val="es-ES"/>
        </w:rPr>
        <w:t>por la pérdida de la calidad de vida y del bienestar</w:t>
      </w:r>
      <w:r w:rsidR="00E93277" w:rsidRPr="00764635">
        <w:rPr>
          <w:lang w:val="es-ES"/>
        </w:rPr>
        <w:t>, el 12 de julio de 2014 el Consejo de Estado estableció que el hecho atribuible al agente responsable “afecta de manera positiva o negativa la dimensión psíquica y emocional del ser humano, en la medida que todo individuo establece una relación estética con su entorno, de la que no siempre es consciente, pero que ausente o nociva, afecta directamente su calidad de vida y su bienestar y por en</w:t>
      </w:r>
      <w:r w:rsidR="006F41A1">
        <w:rPr>
          <w:lang w:val="es-ES"/>
        </w:rPr>
        <w:t>de, genera perjuicios morales” (</w:t>
      </w:r>
      <w:r w:rsidR="006F41A1" w:rsidRPr="006F41A1">
        <w:rPr>
          <w:lang w:val="es-ES"/>
        </w:rPr>
        <w:t xml:space="preserve">Sentencia </w:t>
      </w:r>
      <w:r w:rsidR="006F41A1">
        <w:rPr>
          <w:lang w:val="es-ES"/>
        </w:rPr>
        <w:t>d</w:t>
      </w:r>
      <w:r w:rsidR="006F41A1" w:rsidRPr="006F41A1">
        <w:rPr>
          <w:lang w:val="es-ES"/>
        </w:rPr>
        <w:t>e</w:t>
      </w:r>
      <w:r w:rsidR="006F41A1">
        <w:rPr>
          <w:lang w:val="es-ES"/>
        </w:rPr>
        <w:t xml:space="preserve">l </w:t>
      </w:r>
      <w:r w:rsidR="006F41A1" w:rsidRPr="006F41A1">
        <w:rPr>
          <w:lang w:val="es-ES"/>
        </w:rPr>
        <w:t>12 de Junio de 2014</w:t>
      </w:r>
      <w:r w:rsidR="00A85262">
        <w:rPr>
          <w:lang w:val="es-ES"/>
        </w:rPr>
        <w:t xml:space="preserve"> Nro.</w:t>
      </w:r>
      <w:r w:rsidR="00A85262" w:rsidRPr="006F41A1">
        <w:rPr>
          <w:lang w:val="es-ES"/>
        </w:rPr>
        <w:t xml:space="preserve"> 05001-23-31-000-1996-01478-01(31363)</w:t>
      </w:r>
      <w:r w:rsidR="006F41A1">
        <w:rPr>
          <w:lang w:val="es-ES"/>
        </w:rPr>
        <w:t>.</w:t>
      </w:r>
    </w:p>
    <w:p w14:paraId="4C055DF5" w14:textId="7186BC9C" w:rsidR="0091365B" w:rsidRPr="002B4703" w:rsidRDefault="0091365B" w:rsidP="002B4703">
      <w:pPr>
        <w:spacing w:line="480" w:lineRule="auto"/>
        <w:ind w:firstLine="709"/>
        <w:rPr>
          <w:lang w:val="es-ES"/>
        </w:rPr>
      </w:pPr>
      <w:r w:rsidRPr="002B4703">
        <w:rPr>
          <w:lang w:val="es-ES"/>
        </w:rPr>
        <w:t xml:space="preserve">Los daños morales en la actualidad comprenden “tanto el dolor, el sufrimiento, el padecimiento psíquico o físico injustamente ocasionado, como también la </w:t>
      </w:r>
      <w:r w:rsidR="00EC263B">
        <w:rPr>
          <w:lang w:val="es-ES"/>
        </w:rPr>
        <w:t>ansiedad, angustia y turbación”</w:t>
      </w:r>
      <w:r w:rsidRPr="002B4703">
        <w:rPr>
          <w:lang w:val="es-ES"/>
        </w:rPr>
        <w:t xml:space="preserve"> (Isaza</w:t>
      </w:r>
      <w:r w:rsidR="002B4703">
        <w:rPr>
          <w:lang w:val="es-ES"/>
        </w:rPr>
        <w:t>, M., 2018</w:t>
      </w:r>
      <w:r w:rsidRPr="002B4703">
        <w:rPr>
          <w:lang w:val="es-ES"/>
        </w:rPr>
        <w:t>)</w:t>
      </w:r>
      <w:r w:rsidR="00EC263B">
        <w:rPr>
          <w:lang w:val="es-ES"/>
        </w:rPr>
        <w:t>.</w:t>
      </w:r>
    </w:p>
    <w:p w14:paraId="3148C33A" w14:textId="10B3D6D0" w:rsidR="00754006" w:rsidRPr="002B4703" w:rsidRDefault="0091365B" w:rsidP="002B4703">
      <w:pPr>
        <w:spacing w:line="480" w:lineRule="auto"/>
        <w:ind w:firstLine="709"/>
        <w:rPr>
          <w:lang w:val="es-ES"/>
        </w:rPr>
      </w:pPr>
      <w:r w:rsidRPr="002B4703">
        <w:rPr>
          <w:lang w:val="es-ES"/>
        </w:rPr>
        <w:t>Ahora, con respecto a la cuantía de la indemnización por perjuicios morales</w:t>
      </w:r>
      <w:r w:rsidR="00754006" w:rsidRPr="002B4703">
        <w:rPr>
          <w:lang w:val="es-ES"/>
        </w:rPr>
        <w:t xml:space="preserve"> en materia civil, </w:t>
      </w:r>
      <w:r w:rsidR="00AC45D1">
        <w:rPr>
          <w:lang w:val="es-ES"/>
        </w:rPr>
        <w:t>e</w:t>
      </w:r>
      <w:r w:rsidR="00754006" w:rsidRPr="002B4703">
        <w:rPr>
          <w:lang w:val="es-ES"/>
        </w:rPr>
        <w:t>n sentencia del 18 de septiembre de 2009, la Corte Suprema de Justicia se pronun</w:t>
      </w:r>
      <w:r w:rsidR="00667C78">
        <w:rPr>
          <w:lang w:val="es-ES"/>
        </w:rPr>
        <w:t>ció reiterando el criterio judicial</w:t>
      </w:r>
      <w:r w:rsidR="00754006" w:rsidRPr="002B4703">
        <w:rPr>
          <w:lang w:val="es-ES"/>
        </w:rPr>
        <w:t xml:space="preserve"> para el establecimiento de la cuantía del daño moral así: “ estima apropiada la determinación de su cuantía en el marco fáctico de circunstancias, condiciones de modo, tiempo y lugar de los hechos, situación o posición de la </w:t>
      </w:r>
      <w:r w:rsidR="00667C78" w:rsidRPr="002B4703">
        <w:rPr>
          <w:lang w:val="es-ES"/>
        </w:rPr>
        <w:t>víctima</w:t>
      </w:r>
      <w:r w:rsidR="00754006" w:rsidRPr="002B4703">
        <w:rPr>
          <w:lang w:val="es-ES"/>
        </w:rPr>
        <w:t xml:space="preserve"> y de los perjudicados, intensidad de la lesión a los sentimientos, dolor, aflicción, o pesadumbre y demás factores incidentes conforme al arbitrio judi</w:t>
      </w:r>
      <w:r w:rsidR="00823C3D">
        <w:rPr>
          <w:lang w:val="es-ES"/>
        </w:rPr>
        <w:t>cial ponderado del fallador”. (</w:t>
      </w:r>
      <w:r w:rsidR="00823C3D">
        <w:t>Sentencia SC 2005-00406)</w:t>
      </w:r>
    </w:p>
    <w:p w14:paraId="224018F2" w14:textId="29CD4FD0" w:rsidR="003E6AE0" w:rsidRPr="002B4703" w:rsidRDefault="00C2330D" w:rsidP="002B4703">
      <w:pPr>
        <w:spacing w:line="480" w:lineRule="auto"/>
        <w:ind w:firstLine="709"/>
        <w:rPr>
          <w:lang w:val="es-ES"/>
        </w:rPr>
      </w:pPr>
      <w:r w:rsidRPr="002B4703">
        <w:rPr>
          <w:lang w:val="es-ES"/>
        </w:rPr>
        <w:t xml:space="preserve">De otro lado, el </w:t>
      </w:r>
      <w:r w:rsidR="00823C3D">
        <w:rPr>
          <w:b/>
          <w:u w:val="single"/>
          <w:lang w:val="es-ES"/>
        </w:rPr>
        <w:t>D</w:t>
      </w:r>
      <w:r w:rsidRPr="00823C3D">
        <w:rPr>
          <w:b/>
          <w:u w:val="single"/>
          <w:lang w:val="es-ES"/>
        </w:rPr>
        <w:t xml:space="preserve">año </w:t>
      </w:r>
      <w:r w:rsidR="00AC45D1">
        <w:rPr>
          <w:b/>
          <w:u w:val="single"/>
          <w:lang w:val="es-ES"/>
        </w:rPr>
        <w:t>a</w:t>
      </w:r>
      <w:r w:rsidR="00AC45D1" w:rsidRPr="00823C3D">
        <w:rPr>
          <w:b/>
          <w:u w:val="single"/>
          <w:lang w:val="es-ES"/>
        </w:rPr>
        <w:t xml:space="preserve"> </w:t>
      </w:r>
      <w:r w:rsidRPr="00823C3D">
        <w:rPr>
          <w:b/>
          <w:u w:val="single"/>
          <w:lang w:val="es-ES"/>
        </w:rPr>
        <w:t>la vida en relación</w:t>
      </w:r>
      <w:r w:rsidRPr="002B4703">
        <w:rPr>
          <w:lang w:val="es-ES"/>
        </w:rPr>
        <w:t xml:space="preserve"> consiste en la </w:t>
      </w:r>
      <w:r w:rsidR="00823C3D" w:rsidRPr="002B4703">
        <w:rPr>
          <w:lang w:val="es-ES"/>
        </w:rPr>
        <w:t>pérdida</w:t>
      </w:r>
      <w:r w:rsidRPr="002B4703">
        <w:rPr>
          <w:lang w:val="es-ES"/>
        </w:rPr>
        <w:t xml:space="preserve"> de la oportunidad para gozar de la vida, en verse privados en vivir en las mismas condiciones que sus congéneres, consistente en la pérdida de realizar actividades vitales, que aunque, no producen rendimiento patrimonial, hacen agradable la existencia. Ha dicho esta corporación que </w:t>
      </w:r>
      <w:r w:rsidR="00D93486" w:rsidRPr="002B4703">
        <w:rPr>
          <w:lang w:val="es-ES"/>
        </w:rPr>
        <w:t>“</w:t>
      </w:r>
      <w:r w:rsidRPr="002B4703">
        <w:rPr>
          <w:lang w:val="es-ES"/>
        </w:rPr>
        <w:t xml:space="preserve">se trata en realidad, de un daño </w:t>
      </w:r>
      <w:r w:rsidRPr="002B4703">
        <w:rPr>
          <w:lang w:val="es-ES"/>
        </w:rPr>
        <w:lastRenderedPageBreak/>
        <w:t xml:space="preserve">extrapatrimonial a la </w:t>
      </w:r>
      <w:r w:rsidR="00D93486" w:rsidRPr="002B4703">
        <w:rPr>
          <w:lang w:val="es-ES"/>
        </w:rPr>
        <w:t>vida exterior; aquel que afecta directamente la vida interior ser</w:t>
      </w:r>
      <w:r w:rsidR="00AC45D1">
        <w:rPr>
          <w:lang w:val="es-ES"/>
        </w:rPr>
        <w:t>í</w:t>
      </w:r>
      <w:r w:rsidR="00D93486" w:rsidRPr="002B4703">
        <w:rPr>
          <w:lang w:val="es-ES"/>
        </w:rPr>
        <w:t>a siempre daño moral” (</w:t>
      </w:r>
      <w:r w:rsidR="00EC263B">
        <w:rPr>
          <w:lang w:val="es-ES"/>
        </w:rPr>
        <w:t>Sentencia del 19 julio 2000, Expediente</w:t>
      </w:r>
      <w:r w:rsidR="00D93486" w:rsidRPr="002B4703">
        <w:rPr>
          <w:lang w:val="es-ES"/>
        </w:rPr>
        <w:t>. 11 – 842</w:t>
      </w:r>
      <w:r w:rsidR="00EC263B">
        <w:rPr>
          <w:lang w:val="es-ES"/>
        </w:rPr>
        <w:t>).</w:t>
      </w:r>
    </w:p>
    <w:p w14:paraId="55CF35F2" w14:textId="0C68765B" w:rsidR="00DC2247" w:rsidRDefault="001A5886" w:rsidP="00A85262">
      <w:pPr>
        <w:spacing w:line="480" w:lineRule="auto"/>
        <w:ind w:firstLine="709"/>
        <w:rPr>
          <w:lang w:val="es-ES"/>
        </w:rPr>
      </w:pPr>
      <w:r w:rsidRPr="002B4703">
        <w:rPr>
          <w:lang w:val="es-ES"/>
        </w:rPr>
        <w:t>Teniendo en cuenta lo anterior, se considera que “</w:t>
      </w:r>
      <w:r w:rsidR="00DC2247" w:rsidRPr="002B4703">
        <w:rPr>
          <w:lang w:val="es-ES"/>
        </w:rPr>
        <w:t xml:space="preserve">dicho daño </w:t>
      </w:r>
      <w:r w:rsidRPr="002B4703">
        <w:rPr>
          <w:lang w:val="es-ES"/>
        </w:rPr>
        <w:t xml:space="preserve">no es la lesión en </w:t>
      </w:r>
      <w:r w:rsidR="00667C78" w:rsidRPr="002B4703">
        <w:rPr>
          <w:lang w:val="es-ES"/>
        </w:rPr>
        <w:t>sí</w:t>
      </w:r>
      <w:r w:rsidRPr="002B4703">
        <w:rPr>
          <w:lang w:val="es-ES"/>
        </w:rPr>
        <w:t xml:space="preserve"> misma, sino en las consecuencias que, en razón de ella, se producen en la vida e</w:t>
      </w:r>
      <w:r w:rsidR="00A85262">
        <w:rPr>
          <w:lang w:val="es-ES"/>
        </w:rPr>
        <w:t xml:space="preserve">n relación de quien las sufre” </w:t>
      </w:r>
      <w:r w:rsidR="00A85262" w:rsidRPr="002B4703">
        <w:rPr>
          <w:lang w:val="es-ES"/>
        </w:rPr>
        <w:t>(Isaza</w:t>
      </w:r>
      <w:r w:rsidR="00A85262">
        <w:rPr>
          <w:lang w:val="es-ES"/>
        </w:rPr>
        <w:t>, M., 2018</w:t>
      </w:r>
      <w:r w:rsidR="00A85262" w:rsidRPr="002B4703">
        <w:rPr>
          <w:lang w:val="es-ES"/>
        </w:rPr>
        <w:t>)</w:t>
      </w:r>
      <w:r w:rsidR="00A85262">
        <w:rPr>
          <w:lang w:val="es-ES"/>
        </w:rPr>
        <w:t>. A</w:t>
      </w:r>
      <w:r w:rsidR="00DC2247" w:rsidRPr="002B4703">
        <w:rPr>
          <w:lang w:val="es-ES"/>
        </w:rPr>
        <w:t>demás, no se descarta, por lo demás, “la posibilidad de que el perjuicio a la vida de relación provenga de una afectación al patrimonio, como podría ocurrir en aquellos eventos en que la pérdida económica es tan grande que – al margen del perjuicio material que en si misma implica – produce una alteración importante de las posibilidades vitales de las personas</w:t>
      </w:r>
      <w:r w:rsidR="00EC263B">
        <w:rPr>
          <w:lang w:val="es-ES"/>
        </w:rPr>
        <w:t xml:space="preserve">” </w:t>
      </w:r>
      <w:r w:rsidR="00EC263B" w:rsidRPr="002B4703">
        <w:rPr>
          <w:lang w:val="es-ES"/>
        </w:rPr>
        <w:t>(Isaza</w:t>
      </w:r>
      <w:r w:rsidR="00EC263B">
        <w:rPr>
          <w:lang w:val="es-ES"/>
        </w:rPr>
        <w:t>, M., 2018</w:t>
      </w:r>
      <w:r w:rsidR="00EC263B" w:rsidRPr="002B4703">
        <w:rPr>
          <w:lang w:val="es-ES"/>
        </w:rPr>
        <w:t>)</w:t>
      </w:r>
      <w:r w:rsidR="00EC263B">
        <w:rPr>
          <w:lang w:val="es-ES"/>
        </w:rPr>
        <w:t>.</w:t>
      </w:r>
    </w:p>
    <w:p w14:paraId="6CD52930" w14:textId="77777777" w:rsidR="00AC45D1" w:rsidRPr="002B4703" w:rsidRDefault="00AC45D1" w:rsidP="00A85262">
      <w:pPr>
        <w:spacing w:line="480" w:lineRule="auto"/>
        <w:ind w:firstLine="709"/>
        <w:rPr>
          <w:lang w:val="es-ES"/>
        </w:rPr>
      </w:pPr>
    </w:p>
    <w:p w14:paraId="72177365" w14:textId="3E126A3A" w:rsidR="00AB0F9E" w:rsidRDefault="00AB0F9E" w:rsidP="00AB0F9E">
      <w:pPr>
        <w:spacing w:line="480" w:lineRule="auto"/>
        <w:ind w:firstLine="709"/>
      </w:pPr>
      <w:r>
        <w:rPr>
          <w:b/>
        </w:rPr>
        <w:t>Los d</w:t>
      </w:r>
      <w:r w:rsidRPr="00421176">
        <w:rPr>
          <w:b/>
        </w:rPr>
        <w:t>ecretos 663 de 1993, 656 de 1994 y 720 de 1994 como bases para solicitar indemnización de perjuicios en contra de las AFP</w:t>
      </w:r>
      <w:r>
        <w:rPr>
          <w:b/>
        </w:rPr>
        <w:t xml:space="preserve">. </w:t>
      </w:r>
      <w:r>
        <w:t>El deber de información comprende diversos aspectos, de conformidad con el artículo 97 del Decreto 663 de 1993, así:</w:t>
      </w:r>
    </w:p>
    <w:p w14:paraId="08B2E314" w14:textId="049D696E" w:rsidR="00AB0F9E" w:rsidRPr="00486A32" w:rsidRDefault="00AB0F9E" w:rsidP="00AB0F9E">
      <w:pPr>
        <w:spacing w:line="480" w:lineRule="auto"/>
        <w:ind w:left="720"/>
        <w:rPr>
          <w:color w:val="000000" w:themeColor="text1"/>
        </w:rPr>
      </w:pPr>
      <w:r w:rsidRPr="00486A32">
        <w:rPr>
          <w:rStyle w:val="baj"/>
          <w:bCs/>
          <w:color w:val="000000" w:themeColor="text1"/>
        </w:rPr>
        <w:t>1. Información a los usuarios. </w:t>
      </w:r>
      <w:r w:rsidRPr="00486A32">
        <w:rPr>
          <w:color w:val="000000" w:themeColor="text1"/>
        </w:rPr>
        <w:t>&lt;Numeral modificado por el artículo </w:t>
      </w:r>
      <w:hyperlink r:id="rId8" w:anchor="23" w:history="1">
        <w:r w:rsidRPr="00486A32">
          <w:rPr>
            <w:rStyle w:val="Hipervnculo"/>
            <w:color w:val="000000" w:themeColor="text1"/>
          </w:rPr>
          <w:t>23</w:t>
        </w:r>
      </w:hyperlink>
      <w:r w:rsidRPr="00486A32">
        <w:rPr>
          <w:color w:val="000000" w:themeColor="text1"/>
        </w:rPr>
        <w:t> de la Ley 795 de 2003. El nuevo texto es el siguiente:&gt; Las entidades vigiladas deben suministrar a los usuarios de los servicios que prestan la información necesaria para lograr la mayor transparencia en las operaciones que realicen, de suerte que les permita, a través de elementos de juicio claros y objetivos, escoger las mejores opciones del mercado y poder tomar decisiones informadas.</w:t>
      </w:r>
    </w:p>
    <w:p w14:paraId="51BE33A2" w14:textId="77777777" w:rsidR="00AB0F9E" w:rsidRPr="00486A32" w:rsidRDefault="00AB0F9E" w:rsidP="00AB0F9E">
      <w:pPr>
        <w:pStyle w:val="NormalWeb"/>
        <w:spacing w:line="480" w:lineRule="auto"/>
        <w:ind w:left="709"/>
        <w:rPr>
          <w:color w:val="000000" w:themeColor="text1"/>
        </w:rPr>
      </w:pPr>
      <w:r w:rsidRPr="00486A32">
        <w:rPr>
          <w:color w:val="000000" w:themeColor="text1"/>
        </w:rPr>
        <w:lastRenderedPageBreak/>
        <w:t>En tal sentido, no está sujeta a reserva la información correspondiente a los activos y al patrimonio de las entidades vigiladas, sin perjuicio del deber de sigilo que estas tienen sobre la información recibida de sus clientes y usuarios.</w:t>
      </w:r>
    </w:p>
    <w:p w14:paraId="08CF9EA1" w14:textId="77777777" w:rsidR="00AB0F9E" w:rsidRPr="00486A32" w:rsidRDefault="00AB0F9E" w:rsidP="00AB0F9E">
      <w:pPr>
        <w:pStyle w:val="NormalWeb"/>
        <w:spacing w:line="480" w:lineRule="auto"/>
        <w:ind w:left="709"/>
        <w:rPr>
          <w:color w:val="000000" w:themeColor="text1"/>
        </w:rPr>
      </w:pPr>
      <w:r w:rsidRPr="00486A32">
        <w:rPr>
          <w:rStyle w:val="baj"/>
          <w:bCs/>
          <w:color w:val="000000" w:themeColor="text1"/>
        </w:rPr>
        <w:t>2. Información financiera.</w:t>
      </w:r>
      <w:r w:rsidRPr="00486A32">
        <w:rPr>
          <w:color w:val="000000" w:themeColor="text1"/>
        </w:rPr>
        <w:t> Con excepción de los intermediarios de seguros, las entidades sometidas al control y vigilancia de la Superintendencia Bancaria, de acuerdo con el artículo 97 de la Ley 45 de 1990, expresarán obligatoriamente el resultado económico de sus empresas y de una vigencia determinada en términos de utilidad o pérdida que reciba cada una de las acciones suscritas. Lo anterior no prohíbe que adicionalmente este resultado sea expresado en términos absolutos, si así lo acepta la asamblea de accionistas.</w:t>
      </w:r>
    </w:p>
    <w:p w14:paraId="200532A0" w14:textId="77777777" w:rsidR="00AB0F9E" w:rsidRPr="00486A32" w:rsidRDefault="00AB0F9E" w:rsidP="00AB0F9E">
      <w:pPr>
        <w:pStyle w:val="NormalWeb"/>
        <w:spacing w:line="480" w:lineRule="auto"/>
        <w:ind w:left="709"/>
        <w:rPr>
          <w:color w:val="000000" w:themeColor="text1"/>
        </w:rPr>
      </w:pPr>
      <w:r w:rsidRPr="00486A32">
        <w:rPr>
          <w:rStyle w:val="baj"/>
          <w:bCs/>
          <w:color w:val="000000" w:themeColor="text1"/>
        </w:rPr>
        <w:t>3. Publicidad de la situación financiera.</w:t>
      </w:r>
      <w:r w:rsidRPr="00486A32">
        <w:rPr>
          <w:color w:val="000000" w:themeColor="text1"/>
        </w:rPr>
        <w:t> La Superintendencia Bancaria debe publicar u ordenar la publicación de los estados financieros e indicadores de las entidades sometidas a su control y vigilancia, en los que se muestre la situación de cada una de éstas y la del sector en su conjunto.</w:t>
      </w:r>
    </w:p>
    <w:p w14:paraId="0273D715" w14:textId="77777777" w:rsidR="00AB0F9E" w:rsidRPr="00486A32" w:rsidRDefault="00AB0F9E" w:rsidP="00AB0F9E">
      <w:pPr>
        <w:pStyle w:val="NormalWeb"/>
        <w:spacing w:line="480" w:lineRule="auto"/>
        <w:ind w:left="709"/>
        <w:rPr>
          <w:color w:val="000000" w:themeColor="text1"/>
        </w:rPr>
      </w:pPr>
      <w:r w:rsidRPr="00486A32">
        <w:rPr>
          <w:color w:val="000000" w:themeColor="text1"/>
        </w:rPr>
        <w:t>Tratándose de las entidades aseguradoras, publicará, además, en forma periódica, la situación del margen de solvencia. La información relativa a estas entidades estará a disposición de los interesados y se publicará cuando menos en tres (3) diarios de amplia circulación nacional.</w:t>
      </w:r>
    </w:p>
    <w:p w14:paraId="310EE186" w14:textId="77777777" w:rsidR="00AB0F9E" w:rsidRPr="00486A32" w:rsidRDefault="00AB0F9E" w:rsidP="00AB0F9E">
      <w:pPr>
        <w:pStyle w:val="NormalWeb"/>
        <w:spacing w:line="480" w:lineRule="auto"/>
        <w:ind w:left="709"/>
        <w:rPr>
          <w:color w:val="000000" w:themeColor="text1"/>
        </w:rPr>
      </w:pPr>
      <w:r w:rsidRPr="00486A32">
        <w:rPr>
          <w:rStyle w:val="baj"/>
          <w:bCs/>
          <w:color w:val="000000" w:themeColor="text1"/>
        </w:rPr>
        <w:t>4. Publicidad de las inversiones.</w:t>
      </w:r>
      <w:r w:rsidRPr="00486A32">
        <w:rPr>
          <w:color w:val="000000" w:themeColor="text1"/>
        </w:rPr>
        <w:t xml:space="preserve"> Las entidades aseguradoras deberán llevar un libro en el cual se anotarán los títulos, documentos y activos representativos </w:t>
      </w:r>
      <w:r w:rsidRPr="00486A32">
        <w:rPr>
          <w:color w:val="000000" w:themeColor="text1"/>
        </w:rPr>
        <w:lastRenderedPageBreak/>
        <w:t>de las inversiones. Dicha información deberá publicarse conjuntamente con el balance general y el estado de resultados.</w:t>
      </w:r>
    </w:p>
    <w:p w14:paraId="22EEA18F" w14:textId="77777777" w:rsidR="00AB0F9E" w:rsidRPr="00486A32" w:rsidRDefault="00AB0F9E" w:rsidP="00AB0F9E">
      <w:pPr>
        <w:pStyle w:val="NormalWeb"/>
        <w:spacing w:line="480" w:lineRule="auto"/>
        <w:ind w:left="709"/>
        <w:rPr>
          <w:color w:val="000000" w:themeColor="text1"/>
        </w:rPr>
      </w:pPr>
      <w:r w:rsidRPr="00486A32">
        <w:rPr>
          <w:rStyle w:val="baj"/>
          <w:bCs/>
          <w:color w:val="000000" w:themeColor="text1"/>
        </w:rPr>
        <w:t>5. Informes a la Superintendencia Bancaria.</w:t>
      </w:r>
      <w:r w:rsidRPr="00486A32">
        <w:rPr>
          <w:color w:val="000000" w:themeColor="text1"/>
        </w:rPr>
        <w:t> Las entidades vigiladas deberán presentar informes respecto de su situación, de tiempo en tiempo, en las fechas que el Superintendente Bancario determine y en la forma y con el contenido que para el efecto prescriba.</w:t>
      </w:r>
    </w:p>
    <w:p w14:paraId="6681FE7D" w14:textId="25E260F4" w:rsidR="00FB2509" w:rsidRDefault="00AB0F9E" w:rsidP="00FB2509">
      <w:pPr>
        <w:spacing w:line="480" w:lineRule="auto"/>
        <w:ind w:left="709"/>
        <w:rPr>
          <w:color w:val="000000" w:themeColor="text1"/>
        </w:rPr>
      </w:pPr>
      <w:r w:rsidRPr="00486A32">
        <w:rPr>
          <w:rStyle w:val="baj"/>
          <w:bCs/>
          <w:color w:val="000000" w:themeColor="text1"/>
        </w:rPr>
        <w:t>6. Informes sobre operaciones.</w:t>
      </w:r>
      <w:r w:rsidRPr="00486A32">
        <w:rPr>
          <w:color w:val="000000" w:themeColor="text1"/>
        </w:rPr>
        <w:t> Para los efectos del impuesto de industria y comercio, las entidades financieras a que se refiere el artículo </w:t>
      </w:r>
      <w:hyperlink r:id="rId9" w:anchor="206" w:history="1">
        <w:r w:rsidRPr="00486A32">
          <w:rPr>
            <w:rStyle w:val="Hipervnculo"/>
            <w:color w:val="000000" w:themeColor="text1"/>
          </w:rPr>
          <w:t>206</w:t>
        </w:r>
      </w:hyperlink>
      <w:r w:rsidRPr="00486A32">
        <w:rPr>
          <w:color w:val="000000" w:themeColor="text1"/>
        </w:rPr>
        <w:t> del Decreto Ley 1333 de 1986 deberán comunicar a la Superintendencia Bancaria el movimiento de sus operaciones discriminadas por las principales, sucursales, agencias u oficinas abiertas al público, que operen en los municipios o en el Distri</w:t>
      </w:r>
      <w:r w:rsidR="00912186">
        <w:rPr>
          <w:color w:val="000000" w:themeColor="text1"/>
        </w:rPr>
        <w:t>to Capital de Santafé de Bogotá</w:t>
      </w:r>
      <w:r w:rsidRPr="00486A32">
        <w:rPr>
          <w:color w:val="000000" w:themeColor="text1"/>
        </w:rPr>
        <w:t>.</w:t>
      </w:r>
    </w:p>
    <w:p w14:paraId="41F2DE23" w14:textId="240CFB52" w:rsidR="00AB0F9E" w:rsidRDefault="00AB0F9E" w:rsidP="00FB2509">
      <w:pPr>
        <w:spacing w:line="480" w:lineRule="auto"/>
        <w:ind w:firstLine="709"/>
      </w:pPr>
      <w:r>
        <w:t>Por su parte, e</w:t>
      </w:r>
      <w:r w:rsidRPr="00254E42">
        <w:t>l Decreto 656 del</w:t>
      </w:r>
      <w:r>
        <w:t xml:space="preserve"> 1994</w:t>
      </w:r>
      <w:r w:rsidRPr="00254E42">
        <w:t xml:space="preserve">, </w:t>
      </w:r>
      <w:r>
        <w:t xml:space="preserve">el cual </w:t>
      </w:r>
      <w:r w:rsidRPr="00254E42">
        <w:t>establece el régimen jurídico y financiero de las sociedades que administren fondos de pensiones y en su artículo 4</w:t>
      </w:r>
      <w:r>
        <w:t>°</w:t>
      </w:r>
      <w:r w:rsidRPr="00254E42">
        <w:t xml:space="preserve"> expresa </w:t>
      </w:r>
      <w:r>
        <w:t>lo siguiente:</w:t>
      </w:r>
      <w:r w:rsidRPr="00254E42">
        <w:t xml:space="preserve"> </w:t>
      </w:r>
    </w:p>
    <w:p w14:paraId="1D40CEAA" w14:textId="115BAA35" w:rsidR="00AB0F9E" w:rsidRPr="00764635" w:rsidRDefault="00AB0F9E" w:rsidP="00AB0F9E">
      <w:pPr>
        <w:pStyle w:val="NormalWeb"/>
        <w:spacing w:line="480" w:lineRule="auto"/>
        <w:ind w:left="709"/>
      </w:pPr>
      <w:r w:rsidRPr="00254E42">
        <w:t xml:space="preserve">En su calidad de administradoras del Régimen de Ahorro Individual con Solidaridad, las administradoras son instituciones de carácter provisional y, como tales, se encuentran obligadas a prestar en forma eficiente, eficaz y oportuna todos los servicios inherentes a dicha calidad. </w:t>
      </w:r>
      <w:r w:rsidRPr="00DF2769">
        <w:rPr>
          <w:b/>
          <w:u w:val="single"/>
        </w:rPr>
        <w:t>Por lo tanto, serán responsables de los perjuicios que por su culpa leve se puedan ocasionar a los afiliados</w:t>
      </w:r>
      <w:r>
        <w:t xml:space="preserve"> (Subrayas fuera del texto original).</w:t>
      </w:r>
    </w:p>
    <w:p w14:paraId="5A452374" w14:textId="77777777" w:rsidR="00AB0F9E" w:rsidRPr="003D43C1" w:rsidRDefault="00AB0F9E" w:rsidP="00AB0F9E">
      <w:pPr>
        <w:spacing w:line="480" w:lineRule="auto"/>
        <w:ind w:firstLine="709"/>
      </w:pPr>
      <w:r>
        <w:lastRenderedPageBreak/>
        <w:t>Finalmente, el artículo</w:t>
      </w:r>
      <w:r w:rsidRPr="003D43C1">
        <w:t xml:space="preserve"> 10 del Decreto 720 de 1994  hace referencia a la responsabilidad de los promotores estableciendo lo siguiente:</w:t>
      </w:r>
    </w:p>
    <w:p w14:paraId="296DEEDC" w14:textId="6E699277" w:rsidR="00AB0F9E" w:rsidRPr="00A36080" w:rsidRDefault="00E61BAA" w:rsidP="00AB0F9E">
      <w:pPr>
        <w:spacing w:line="480" w:lineRule="auto"/>
        <w:ind w:left="709"/>
        <w:rPr>
          <w:rFonts w:eastAsia="Times New Roman"/>
        </w:rPr>
      </w:pPr>
      <w:r>
        <w:rPr>
          <w:rFonts w:eastAsia="Times New Roman"/>
        </w:rPr>
        <w:t>“</w:t>
      </w:r>
      <w:r w:rsidR="00AB0F9E" w:rsidRPr="00A36080">
        <w:rPr>
          <w:rFonts w:eastAsia="Times New Roman"/>
        </w:rPr>
        <w:t xml:space="preserve">Cualquier infracción, error u omisión -en especial aquellos que impliquen perjuicio a los intereses de los afiliados- en que incurran los promotores de las sociedades administradoras del sistema general de pensiones en el desarrollo de su actividad compromete la responsabilidad de la sociedad administradora respecto de la cual adelante de sus labores de promoción o con la cual, con ocasión de su gestión, se hubiere realizado la respectiva vinculación sin perjuicio de la responsabilidad de los promotores frente a la correspondiente sociedad administradora del sistema general de pensiones. </w:t>
      </w:r>
    </w:p>
    <w:p w14:paraId="2BEB8F8F" w14:textId="06EF1E3F" w:rsidR="00A04F0E" w:rsidRDefault="00AB0F9E" w:rsidP="00BF0F02">
      <w:pPr>
        <w:spacing w:line="480" w:lineRule="auto"/>
        <w:ind w:left="709"/>
        <w:rPr>
          <w:rFonts w:eastAsia="Times New Roman"/>
        </w:rPr>
      </w:pPr>
      <w:r w:rsidRPr="00A36080">
        <w:rPr>
          <w:rFonts w:eastAsia="Times New Roman"/>
        </w:rPr>
        <w:t>Los costos que generen los convenios que celebren las sociedades administradoras del sistema general de pensiones con los promotores no podrán trasladarse, directa o indirectamente, a los afiliados.</w:t>
      </w:r>
      <w:r w:rsidR="00E61BAA">
        <w:rPr>
          <w:rFonts w:eastAsia="Times New Roman"/>
        </w:rPr>
        <w:t>”</w:t>
      </w:r>
    </w:p>
    <w:p w14:paraId="1E67FA55" w14:textId="77777777" w:rsidR="00A04F0E" w:rsidRDefault="00A04F0E" w:rsidP="00BF0F02">
      <w:pPr>
        <w:spacing w:line="480" w:lineRule="auto"/>
        <w:ind w:left="709"/>
        <w:rPr>
          <w:rFonts w:eastAsia="Times New Roman"/>
        </w:rPr>
      </w:pPr>
    </w:p>
    <w:p w14:paraId="15FB3F23" w14:textId="77777777" w:rsidR="00A04F0E" w:rsidRDefault="00A04F0E" w:rsidP="00BF0F02">
      <w:pPr>
        <w:spacing w:line="480" w:lineRule="auto"/>
        <w:ind w:left="709"/>
        <w:rPr>
          <w:rFonts w:eastAsia="Times New Roman"/>
        </w:rPr>
      </w:pPr>
    </w:p>
    <w:p w14:paraId="62B1D44A" w14:textId="77777777" w:rsidR="00A04F0E" w:rsidRDefault="00A04F0E" w:rsidP="00BF0F02">
      <w:pPr>
        <w:spacing w:line="480" w:lineRule="auto"/>
        <w:ind w:left="709"/>
        <w:rPr>
          <w:rFonts w:eastAsia="Times New Roman"/>
        </w:rPr>
      </w:pPr>
    </w:p>
    <w:p w14:paraId="5B2A0C06" w14:textId="77777777" w:rsidR="00A04F0E" w:rsidRDefault="00A04F0E" w:rsidP="00BF0F02">
      <w:pPr>
        <w:spacing w:line="480" w:lineRule="auto"/>
        <w:ind w:left="709"/>
        <w:rPr>
          <w:rFonts w:eastAsia="Times New Roman"/>
        </w:rPr>
      </w:pPr>
    </w:p>
    <w:p w14:paraId="771C26A8" w14:textId="77777777" w:rsidR="00A04F0E" w:rsidRDefault="00A04F0E" w:rsidP="00BF0F02">
      <w:pPr>
        <w:spacing w:line="480" w:lineRule="auto"/>
        <w:ind w:left="709"/>
        <w:rPr>
          <w:rFonts w:eastAsia="Times New Roman"/>
        </w:rPr>
      </w:pPr>
    </w:p>
    <w:p w14:paraId="0E03EB21" w14:textId="77777777" w:rsidR="00A04F0E" w:rsidRDefault="00A04F0E" w:rsidP="00BF0F02">
      <w:pPr>
        <w:spacing w:line="480" w:lineRule="auto"/>
        <w:ind w:left="709"/>
        <w:rPr>
          <w:rFonts w:eastAsia="Times New Roman"/>
        </w:rPr>
      </w:pPr>
    </w:p>
    <w:p w14:paraId="475FFA46" w14:textId="77777777" w:rsidR="00A04F0E" w:rsidRDefault="00A04F0E" w:rsidP="00BF0F02">
      <w:pPr>
        <w:spacing w:line="480" w:lineRule="auto"/>
        <w:ind w:left="709"/>
        <w:rPr>
          <w:rFonts w:eastAsia="Times New Roman"/>
        </w:rPr>
      </w:pPr>
    </w:p>
    <w:p w14:paraId="48112C7E" w14:textId="77777777" w:rsidR="00A04F0E" w:rsidRDefault="00A04F0E" w:rsidP="00BF0F02">
      <w:pPr>
        <w:spacing w:line="480" w:lineRule="auto"/>
        <w:ind w:left="709"/>
        <w:rPr>
          <w:rFonts w:eastAsia="Times New Roman"/>
        </w:rPr>
      </w:pPr>
    </w:p>
    <w:p w14:paraId="55E4A82D" w14:textId="77777777" w:rsidR="00A04F0E" w:rsidRDefault="00A04F0E" w:rsidP="00BF0F02">
      <w:pPr>
        <w:spacing w:line="480" w:lineRule="auto"/>
        <w:ind w:left="709"/>
        <w:rPr>
          <w:rFonts w:eastAsia="Times New Roman"/>
        </w:rPr>
      </w:pPr>
    </w:p>
    <w:p w14:paraId="4014AE59" w14:textId="77777777" w:rsidR="00A04F0E" w:rsidRDefault="00A04F0E" w:rsidP="00BF0F02">
      <w:pPr>
        <w:spacing w:line="480" w:lineRule="auto"/>
        <w:ind w:left="709"/>
        <w:rPr>
          <w:rFonts w:eastAsia="Times New Roman"/>
        </w:rPr>
      </w:pPr>
    </w:p>
    <w:p w14:paraId="74716AAA" w14:textId="77777777" w:rsidR="00A04F0E" w:rsidRDefault="00A04F0E" w:rsidP="00BF0F02">
      <w:pPr>
        <w:spacing w:line="480" w:lineRule="auto"/>
        <w:ind w:left="709"/>
        <w:rPr>
          <w:rFonts w:eastAsia="Times New Roman"/>
        </w:rPr>
      </w:pPr>
    </w:p>
    <w:p w14:paraId="6E59AFDD" w14:textId="35852E66" w:rsidR="00613BC1" w:rsidRDefault="00613BC1" w:rsidP="00BF0F02">
      <w:pPr>
        <w:spacing w:line="480" w:lineRule="auto"/>
        <w:ind w:left="709"/>
        <w:rPr>
          <w:rFonts w:eastAsia="Times New Roman"/>
        </w:rPr>
      </w:pPr>
      <w:r>
        <w:rPr>
          <w:bCs/>
          <w:iCs/>
          <w:noProof/>
        </w:rPr>
        <w:lastRenderedPageBreak/>
        <mc:AlternateContent>
          <mc:Choice Requires="wps">
            <w:drawing>
              <wp:anchor distT="0" distB="0" distL="114300" distR="114300" simplePos="0" relativeHeight="251692032" behindDoc="0" locked="0" layoutInCell="1" allowOverlap="1" wp14:anchorId="5151CE2E" wp14:editId="07579315">
                <wp:simplePos x="0" y="0"/>
                <wp:positionH relativeFrom="column">
                  <wp:posOffset>2732405</wp:posOffset>
                </wp:positionH>
                <wp:positionV relativeFrom="paragraph">
                  <wp:posOffset>187325</wp:posOffset>
                </wp:positionV>
                <wp:extent cx="1905000" cy="533400"/>
                <wp:effectExtent l="0" t="0" r="19050" b="19050"/>
                <wp:wrapNone/>
                <wp:docPr id="25" name="25 Rectángulo"/>
                <wp:cNvGraphicFramePr/>
                <a:graphic xmlns:a="http://schemas.openxmlformats.org/drawingml/2006/main">
                  <a:graphicData uri="http://schemas.microsoft.com/office/word/2010/wordprocessingShape">
                    <wps:wsp>
                      <wps:cNvSpPr/>
                      <wps:spPr>
                        <a:xfrm>
                          <a:off x="0" y="0"/>
                          <a:ext cx="1905000" cy="5334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5AA81E1" w14:textId="60F08D63" w:rsidR="00712063" w:rsidRPr="00914651" w:rsidRDefault="00712063" w:rsidP="00613BC1">
                            <w:pPr>
                              <w:jc w:val="center"/>
                              <w:rPr>
                                <w:lang w:val="es-CO"/>
                                <w14:textOutline w14:w="9525" w14:cap="rnd" w14:cmpd="sng" w14:algn="ctr">
                                  <w14:solidFill>
                                    <w14:srgbClr w14:val="000000"/>
                                  </w14:solidFill>
                                  <w14:prstDash w14:val="solid"/>
                                  <w14:bevel/>
                                </w14:textOutline>
                              </w:rPr>
                            </w:pPr>
                            <w:r>
                              <w:rPr>
                                <w:color w:val="000000" w:themeColor="text1"/>
                                <w:lang w:val="es-CO"/>
                              </w:rPr>
                              <w:t>El afiliado regresa al RPM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5 Rectángulo" o:spid="_x0000_s1026" style="position:absolute;left:0;text-align:left;margin-left:215.15pt;margin-top:14.75pt;width:150pt;height:42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" filled="f" strokecolor="black [3213]" strokeweight="1pt">
                <v:textbox>
                  <w:txbxContent>
                    <w:p w14:paraId="45AA81E1" w14:textId="60F08D63" w:rsidR="00712063" w:rsidRPr="00914651" w:rsidRDefault="00712063" w:rsidP="00613BC1">
                      <w:pPr>
                        <w:jc w:val="center"/>
                        <w:rPr>
                          <w:lang w:val="es-CO"/>
                          <w14:textOutline w14:w="9525" w14:cap="rnd" w14:cmpd="sng" w14:algn="ctr">
                            <w14:solidFill>
                              <w14:srgbClr w14:val="000000"/>
                            </w14:solidFill>
                            <w14:prstDash w14:val="solid"/>
                            <w14:bevel/>
                          </w14:textOutline>
                        </w:rPr>
                      </w:pPr>
                      <w:r>
                        <w:rPr>
                          <w:color w:val="000000" w:themeColor="text1"/>
                          <w:lang w:val="es-CO"/>
                        </w:rPr>
                        <w:t>El afiliado regresa al RPM</w:t>
                      </w:r>
                    </w:p>
                  </w:txbxContent>
                </v:textbox>
              </v:rect>
            </w:pict>
          </mc:Fallback>
        </mc:AlternateContent>
      </w:r>
      <w:r>
        <w:rPr>
          <w:bCs/>
          <w:iCs/>
          <w:noProof/>
        </w:rPr>
        <mc:AlternateContent>
          <mc:Choice Requires="wps">
            <w:drawing>
              <wp:anchor distT="0" distB="0" distL="114300" distR="114300" simplePos="0" relativeHeight="251687936" behindDoc="0" locked="0" layoutInCell="1" allowOverlap="1" wp14:anchorId="27274282" wp14:editId="20C3362A">
                <wp:simplePos x="0" y="0"/>
                <wp:positionH relativeFrom="column">
                  <wp:posOffset>-77470</wp:posOffset>
                </wp:positionH>
                <wp:positionV relativeFrom="paragraph">
                  <wp:posOffset>168275</wp:posOffset>
                </wp:positionV>
                <wp:extent cx="1905000" cy="533400"/>
                <wp:effectExtent l="0" t="0" r="19050" b="19050"/>
                <wp:wrapNone/>
                <wp:docPr id="23" name="23 Rectángulo"/>
                <wp:cNvGraphicFramePr/>
                <a:graphic xmlns:a="http://schemas.openxmlformats.org/drawingml/2006/main">
                  <a:graphicData uri="http://schemas.microsoft.com/office/word/2010/wordprocessingShape">
                    <wps:wsp>
                      <wps:cNvSpPr/>
                      <wps:spPr>
                        <a:xfrm>
                          <a:off x="0" y="0"/>
                          <a:ext cx="1905000" cy="5334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11C6C8E" w14:textId="47F39AEF" w:rsidR="00712063" w:rsidRPr="00914651" w:rsidRDefault="00712063" w:rsidP="00613BC1">
                            <w:pPr>
                              <w:jc w:val="center"/>
                              <w:rPr>
                                <w:lang w:val="es-CO"/>
                                <w14:textOutline w14:w="9525" w14:cap="rnd" w14:cmpd="sng" w14:algn="ctr">
                                  <w14:solidFill>
                                    <w14:srgbClr w14:val="000000"/>
                                  </w14:solidFill>
                                  <w14:prstDash w14:val="solid"/>
                                  <w14:bevel/>
                                </w14:textOutline>
                              </w:rPr>
                            </w:pPr>
                            <w:r>
                              <w:rPr>
                                <w:color w:val="000000" w:themeColor="text1"/>
                                <w:lang w:val="es-CO"/>
                              </w:rPr>
                              <w:t xml:space="preserve">Deja sin efectos la </w:t>
                            </w:r>
                            <w:r w:rsidRPr="006A7F6C">
                              <w:rPr>
                                <w:color w:val="000000" w:themeColor="text1"/>
                                <w:lang w:val="es-CO"/>
                              </w:rPr>
                              <w:t>afiliación/traslado</w:t>
                            </w:r>
                            <w:r>
                              <w:rPr>
                                <w:color w:val="000000" w:themeColor="text1"/>
                                <w:lang w:val="es-CO"/>
                              </w:rPr>
                              <w:t xml:space="preserve"> al RAIS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3 Rectángulo" o:spid="_x0000_s1027" style="position:absolute;left:0;text-align:left;margin-left:-6.1pt;margin-top:13.25pt;width:150pt;height:42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" filled="f" strokecolor="black [3213]" strokeweight="1pt">
                <v:textbox>
                  <w:txbxContent>
                    <w:p w14:paraId="711C6C8E" w14:textId="47F39AEF" w:rsidR="00712063" w:rsidRPr="00914651" w:rsidRDefault="00712063" w:rsidP="00613BC1">
                      <w:pPr>
                        <w:jc w:val="center"/>
                        <w:rPr>
                          <w:lang w:val="es-CO"/>
                          <w14:textOutline w14:w="9525" w14:cap="rnd" w14:cmpd="sng" w14:algn="ctr">
                            <w14:solidFill>
                              <w14:srgbClr w14:val="000000"/>
                            </w14:solidFill>
                            <w14:prstDash w14:val="solid"/>
                            <w14:bevel/>
                          </w14:textOutline>
                        </w:rPr>
                      </w:pPr>
                      <w:r>
                        <w:rPr>
                          <w:color w:val="000000" w:themeColor="text1"/>
                          <w:lang w:val="es-CO"/>
                        </w:rPr>
                        <w:t xml:space="preserve">Deja sin efectos la </w:t>
                      </w:r>
                      <w:r w:rsidRPr="006A7F6C">
                        <w:rPr>
                          <w:color w:val="000000" w:themeColor="text1"/>
                          <w:lang w:val="es-CO"/>
                        </w:rPr>
                        <w:t>afiliación/traslado</w:t>
                      </w:r>
                      <w:r>
                        <w:rPr>
                          <w:color w:val="000000" w:themeColor="text1"/>
                          <w:lang w:val="es-CO"/>
                        </w:rPr>
                        <w:t xml:space="preserve"> al RAIS</w:t>
                      </w:r>
                    </w:p>
                  </w:txbxContent>
                </v:textbox>
              </v:rect>
            </w:pict>
          </mc:Fallback>
        </mc:AlternateContent>
      </w:r>
    </w:p>
    <w:p w14:paraId="3ED7FB3F" w14:textId="732D026E" w:rsidR="00613BC1" w:rsidRDefault="00613BC1" w:rsidP="00BF0F02">
      <w:pPr>
        <w:spacing w:line="480" w:lineRule="auto"/>
        <w:ind w:left="709"/>
        <w:rPr>
          <w:bCs/>
          <w:iCs/>
        </w:rPr>
      </w:pPr>
      <w:r>
        <w:rPr>
          <w:bCs/>
          <w:iCs/>
          <w:noProof/>
        </w:rPr>
        <mc:AlternateContent>
          <mc:Choice Requires="wps">
            <w:drawing>
              <wp:anchor distT="0" distB="0" distL="114300" distR="114300" simplePos="0" relativeHeight="251689984" behindDoc="0" locked="0" layoutInCell="1" allowOverlap="1" wp14:anchorId="591D8E55" wp14:editId="742CF1C2">
                <wp:simplePos x="0" y="0"/>
                <wp:positionH relativeFrom="column">
                  <wp:posOffset>1827530</wp:posOffset>
                </wp:positionH>
                <wp:positionV relativeFrom="paragraph">
                  <wp:posOffset>83820</wp:posOffset>
                </wp:positionV>
                <wp:extent cx="904875" cy="0"/>
                <wp:effectExtent l="0" t="0" r="9525" b="19050"/>
                <wp:wrapNone/>
                <wp:docPr id="24" name="24 Conector recto"/>
                <wp:cNvGraphicFramePr/>
                <a:graphic xmlns:a="http://schemas.openxmlformats.org/drawingml/2006/main">
                  <a:graphicData uri="http://schemas.microsoft.com/office/word/2010/wordprocessingShape">
                    <wps:wsp>
                      <wps:cNvCnPr/>
                      <wps:spPr>
                        <a:xfrm flipH="1">
                          <a:off x="0" y="0"/>
                          <a:ext cx="9048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065D594" id="24 Conector recto" o:spid="_x0000_s1026" style="position:absolute;flip:x;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3.9pt,6.6pt" to="215.15pt,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" strokecolor="black [3200]" strokeweight=".5pt">
                <v:stroke joinstyle="miter"/>
              </v:line>
            </w:pict>
          </mc:Fallback>
        </mc:AlternateContent>
      </w:r>
    </w:p>
    <w:p w14:paraId="1451421D" w14:textId="6A9CBC8B" w:rsidR="00912186" w:rsidRDefault="00574814" w:rsidP="00912186">
      <w:pPr>
        <w:spacing w:line="480" w:lineRule="auto"/>
        <w:ind w:firstLine="709"/>
        <w:rPr>
          <w:bCs/>
          <w:iCs/>
        </w:rPr>
      </w:pPr>
      <w:r>
        <w:rPr>
          <w:bCs/>
          <w:iCs/>
          <w:noProof/>
        </w:rPr>
        <mc:AlternateContent>
          <mc:Choice Requires="wps">
            <w:drawing>
              <wp:anchor distT="0" distB="0" distL="114300" distR="114300" simplePos="0" relativeHeight="251696128" behindDoc="0" locked="0" layoutInCell="1" allowOverlap="1" wp14:anchorId="69562F32" wp14:editId="174C3628">
                <wp:simplePos x="0" y="0"/>
                <wp:positionH relativeFrom="column">
                  <wp:posOffset>3384187</wp:posOffset>
                </wp:positionH>
                <wp:positionV relativeFrom="paragraph">
                  <wp:posOffset>349794</wp:posOffset>
                </wp:positionV>
                <wp:extent cx="2038350" cy="794476"/>
                <wp:effectExtent l="0" t="0" r="19050" b="18415"/>
                <wp:wrapNone/>
                <wp:docPr id="27" name="27 Rectángulo"/>
                <wp:cNvGraphicFramePr/>
                <a:graphic xmlns:a="http://schemas.openxmlformats.org/drawingml/2006/main">
                  <a:graphicData uri="http://schemas.microsoft.com/office/word/2010/wordprocessingShape">
                    <wps:wsp>
                      <wps:cNvSpPr/>
                      <wps:spPr>
                        <a:xfrm>
                          <a:off x="0" y="0"/>
                          <a:ext cx="2038350" cy="794476"/>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9ADE10F" w14:textId="723F9999" w:rsidR="00712063" w:rsidRPr="00914651" w:rsidRDefault="00712063" w:rsidP="00613BC1">
                            <w:pPr>
                              <w:jc w:val="center"/>
                              <w:rPr>
                                <w:lang w:val="es-CO"/>
                                <w14:textOutline w14:w="9525" w14:cap="rnd" w14:cmpd="sng" w14:algn="ctr">
                                  <w14:solidFill>
                                    <w14:srgbClr w14:val="000000"/>
                                  </w14:solidFill>
                                  <w14:prstDash w14:val="solid"/>
                                  <w14:bevel/>
                                </w14:textOutline>
                              </w:rPr>
                            </w:pPr>
                            <w:r w:rsidRPr="006A7F6C">
                              <w:rPr>
                                <w:color w:val="000000" w:themeColor="text1"/>
                                <w:lang w:val="es-CO"/>
                              </w:rPr>
                              <w:t>La AFP debe trasladar la totalidad de los aportes, los gastos de administración y las comisiones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7 Rectángulo" o:spid="_x0000_s1028" style="position:absolute;left:0;text-align:left;margin-left:266.45pt;margin-top:27.55pt;width:160.5pt;height:62.5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" filled="f" strokecolor="black [3213]" strokeweight="1pt">
                <v:textbox>
                  <w:txbxContent>
                    <w:p w14:paraId="09ADE10F" w14:textId="723F9999" w:rsidR="00712063" w:rsidRPr="00914651" w:rsidRDefault="00712063" w:rsidP="00613BC1">
                      <w:pPr>
                        <w:jc w:val="center"/>
                        <w:rPr>
                          <w:lang w:val="es-CO"/>
                          <w14:textOutline w14:w="9525" w14:cap="rnd" w14:cmpd="sng" w14:algn="ctr">
                            <w14:solidFill>
                              <w14:srgbClr w14:val="000000"/>
                            </w14:solidFill>
                            <w14:prstDash w14:val="solid"/>
                            <w14:bevel/>
                          </w14:textOutline>
                        </w:rPr>
                      </w:pPr>
                      <w:r w:rsidRPr="006A7F6C">
                        <w:rPr>
                          <w:color w:val="000000" w:themeColor="text1"/>
                          <w:lang w:val="es-CO"/>
                        </w:rPr>
                        <w:t>La AFP debe trasladar la totalidad de los aportes, los gastos de administración y las comisiones</w:t>
                      </w:r>
                    </w:p>
                  </w:txbxContent>
                </v:textbox>
              </v:rect>
            </w:pict>
          </mc:Fallback>
        </mc:AlternateContent>
      </w:r>
      <w:r>
        <w:rPr>
          <w:bCs/>
          <w:iCs/>
          <w:noProof/>
        </w:rPr>
        <mc:AlternateContent>
          <mc:Choice Requires="wps">
            <w:drawing>
              <wp:anchor distT="0" distB="0" distL="114300" distR="114300" simplePos="0" relativeHeight="251659264" behindDoc="0" locked="0" layoutInCell="1" allowOverlap="1" wp14:anchorId="447FCE96" wp14:editId="59B9CCD3">
                <wp:simplePos x="0" y="0"/>
                <wp:positionH relativeFrom="column">
                  <wp:posOffset>1285966</wp:posOffset>
                </wp:positionH>
                <wp:positionV relativeFrom="paragraph">
                  <wp:posOffset>333466</wp:posOffset>
                </wp:positionV>
                <wp:extent cx="1771650" cy="582204"/>
                <wp:effectExtent l="0" t="0" r="31750" b="27940"/>
                <wp:wrapNone/>
                <wp:docPr id="1" name="1 Rectángulo"/>
                <wp:cNvGraphicFramePr/>
                <a:graphic xmlns:a="http://schemas.openxmlformats.org/drawingml/2006/main">
                  <a:graphicData uri="http://schemas.microsoft.com/office/word/2010/wordprocessingShape">
                    <wps:wsp>
                      <wps:cNvSpPr/>
                      <wps:spPr>
                        <a:xfrm>
                          <a:off x="0" y="0"/>
                          <a:ext cx="1771650" cy="582204"/>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F76DC92" w14:textId="5DF84E11" w:rsidR="00712063" w:rsidRPr="004E68BE" w:rsidRDefault="00712063" w:rsidP="00912186">
                            <w:pPr>
                              <w:jc w:val="center"/>
                              <w:rPr>
                                <w:b/>
                                <w:lang w:val="es-CO"/>
                                <w14:textOutline w14:w="9525" w14:cap="rnd" w14:cmpd="sng" w14:algn="ctr">
                                  <w14:solidFill>
                                    <w14:srgbClr w14:val="000000"/>
                                  </w14:solidFill>
                                  <w14:prstDash w14:val="solid"/>
                                  <w14:bevel/>
                                </w14:textOutline>
                              </w:rPr>
                            </w:pPr>
                            <w:r>
                              <w:rPr>
                                <w:b/>
                                <w:color w:val="000000" w:themeColor="text1"/>
                                <w:lang w:val="es-CO"/>
                              </w:rPr>
                              <w:t>Ineficacia de la afiliación/</w:t>
                            </w:r>
                            <w:r w:rsidRPr="006A7F6C">
                              <w:rPr>
                                <w:b/>
                                <w:color w:val="000000" w:themeColor="text1"/>
                                <w:lang w:val="es-CO"/>
                              </w:rPr>
                              <w:t>traslado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1 Rectángulo" o:spid="_x0000_s1029" style="position:absolute;left:0;text-align:left;margin-left:101.25pt;margin-top:26.25pt;width:139.5pt;height:45.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" filled="f" strokecolor="black [3213]" strokeweight="1pt">
                <v:textbox>
                  <w:txbxContent>
                    <w:p w14:paraId="7F76DC92" w14:textId="5DF84E11" w:rsidR="00712063" w:rsidRPr="004E68BE" w:rsidRDefault="00712063" w:rsidP="00912186">
                      <w:pPr>
                        <w:jc w:val="center"/>
                        <w:rPr>
                          <w:b/>
                          <w:lang w:val="es-CO"/>
                          <w14:textOutline w14:w="9525" w14:cap="rnd" w14:cmpd="sng" w14:algn="ctr">
                            <w14:solidFill>
                              <w14:srgbClr w14:val="000000"/>
                            </w14:solidFill>
                            <w14:prstDash w14:val="solid"/>
                            <w14:bevel/>
                          </w14:textOutline>
                        </w:rPr>
                      </w:pPr>
                      <w:r>
                        <w:rPr>
                          <w:b/>
                          <w:color w:val="000000" w:themeColor="text1"/>
                          <w:lang w:val="es-CO"/>
                        </w:rPr>
                        <w:t>Ineficacia de la afiliación/</w:t>
                      </w:r>
                      <w:r w:rsidRPr="006A7F6C">
                        <w:rPr>
                          <w:b/>
                          <w:color w:val="000000" w:themeColor="text1"/>
                          <w:lang w:val="es-CO"/>
                        </w:rPr>
                        <w:t>traslado</w:t>
                      </w:r>
                    </w:p>
                  </w:txbxContent>
                </v:textbox>
              </v:rect>
            </w:pict>
          </mc:Fallback>
        </mc:AlternateContent>
      </w:r>
      <w:r w:rsidR="00613BC1">
        <w:rPr>
          <w:bCs/>
          <w:iCs/>
          <w:noProof/>
        </w:rPr>
        <mc:AlternateContent>
          <mc:Choice Requires="wps">
            <w:drawing>
              <wp:anchor distT="0" distB="0" distL="114300" distR="114300" simplePos="0" relativeHeight="251694080" behindDoc="0" locked="0" layoutInCell="1" allowOverlap="1" wp14:anchorId="634FAF14" wp14:editId="66B56762">
                <wp:simplePos x="0" y="0"/>
                <wp:positionH relativeFrom="column">
                  <wp:posOffset>3170555</wp:posOffset>
                </wp:positionH>
                <wp:positionV relativeFrom="paragraph">
                  <wp:posOffset>19685</wp:posOffset>
                </wp:positionV>
                <wp:extent cx="209550" cy="332740"/>
                <wp:effectExtent l="0" t="0" r="19050" b="29210"/>
                <wp:wrapNone/>
                <wp:docPr id="26" name="26 Conector recto"/>
                <wp:cNvGraphicFramePr/>
                <a:graphic xmlns:a="http://schemas.openxmlformats.org/drawingml/2006/main">
                  <a:graphicData uri="http://schemas.microsoft.com/office/word/2010/wordprocessingShape">
                    <wps:wsp>
                      <wps:cNvCnPr/>
                      <wps:spPr>
                        <a:xfrm flipH="1" flipV="1">
                          <a:off x="0" y="0"/>
                          <a:ext cx="209550" cy="33274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D7826EB" id="26 Conector recto" o:spid="_x0000_s1026" style="position:absolute;flip:x y;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9.65pt,1.55pt" to="266.15pt,2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" strokecolor="black [3200]" strokeweight=".5pt">
                <v:stroke joinstyle="miter"/>
              </v:line>
            </w:pict>
          </mc:Fallback>
        </mc:AlternateContent>
      </w:r>
      <w:r w:rsidR="00613BC1">
        <w:rPr>
          <w:bCs/>
          <w:iCs/>
          <w:noProof/>
        </w:rPr>
        <mc:AlternateContent>
          <mc:Choice Requires="wps">
            <w:drawing>
              <wp:anchor distT="0" distB="0" distL="114300" distR="114300" simplePos="0" relativeHeight="251685888" behindDoc="0" locked="0" layoutInCell="1" allowOverlap="1" wp14:anchorId="205C6993" wp14:editId="01DCB373">
                <wp:simplePos x="0" y="0"/>
                <wp:positionH relativeFrom="column">
                  <wp:posOffset>1056005</wp:posOffset>
                </wp:positionH>
                <wp:positionV relativeFrom="paragraph">
                  <wp:posOffset>-635</wp:posOffset>
                </wp:positionV>
                <wp:extent cx="228600" cy="332740"/>
                <wp:effectExtent l="0" t="0" r="19050" b="29210"/>
                <wp:wrapNone/>
                <wp:docPr id="22" name="22 Conector recto"/>
                <wp:cNvGraphicFramePr/>
                <a:graphic xmlns:a="http://schemas.openxmlformats.org/drawingml/2006/main">
                  <a:graphicData uri="http://schemas.microsoft.com/office/word/2010/wordprocessingShape">
                    <wps:wsp>
                      <wps:cNvCnPr/>
                      <wps:spPr>
                        <a:xfrm flipH="1" flipV="1">
                          <a:off x="0" y="0"/>
                          <a:ext cx="228600" cy="33274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9713D06" id="22 Conector recto" o:spid="_x0000_s1026" style="position:absolute;flip:x y;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3.15pt,-.05pt" to="101.15pt,2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" strokecolor="black [3200]" strokeweight=".5pt">
                <v:stroke joinstyle="miter"/>
              </v:line>
            </w:pict>
          </mc:Fallback>
        </mc:AlternateContent>
      </w:r>
    </w:p>
    <w:p w14:paraId="0C620065" w14:textId="335FF538" w:rsidR="00912186" w:rsidRPr="004E68BE" w:rsidRDefault="00912186" w:rsidP="00912186">
      <w:pPr>
        <w:tabs>
          <w:tab w:val="left" w:pos="3000"/>
        </w:tabs>
        <w:spacing w:line="480" w:lineRule="auto"/>
        <w:ind w:firstLine="709"/>
        <w:rPr>
          <w:b/>
          <w:bCs/>
          <w:iCs/>
        </w:rPr>
      </w:pPr>
      <w:r>
        <w:rPr>
          <w:bCs/>
          <w:iCs/>
          <w:noProof/>
        </w:rPr>
        <mc:AlternateContent>
          <mc:Choice Requires="wps">
            <w:drawing>
              <wp:anchor distT="0" distB="0" distL="114300" distR="114300" simplePos="0" relativeHeight="251660288" behindDoc="0" locked="0" layoutInCell="1" allowOverlap="1" wp14:anchorId="12C34FD1" wp14:editId="0F88BEA9">
                <wp:simplePos x="0" y="0"/>
                <wp:positionH relativeFrom="column">
                  <wp:posOffset>560705</wp:posOffset>
                </wp:positionH>
                <wp:positionV relativeFrom="paragraph">
                  <wp:posOffset>250190</wp:posOffset>
                </wp:positionV>
                <wp:extent cx="723901" cy="504825"/>
                <wp:effectExtent l="0" t="0" r="19050" b="28575"/>
                <wp:wrapNone/>
                <wp:docPr id="3" name="3 Conector recto"/>
                <wp:cNvGraphicFramePr/>
                <a:graphic xmlns:a="http://schemas.openxmlformats.org/drawingml/2006/main">
                  <a:graphicData uri="http://schemas.microsoft.com/office/word/2010/wordprocessingShape">
                    <wps:wsp>
                      <wps:cNvCnPr/>
                      <wps:spPr>
                        <a:xfrm flipH="1">
                          <a:off x="0" y="0"/>
                          <a:ext cx="723901" cy="5048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11F7ECC" id="3 Conector recto" o:spid="_x0000_s1026" style="position:absolute;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4.15pt,19.7pt" to="101.15pt,5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" strokecolor="black [3200]" strokeweight=".5pt">
                <v:stroke joinstyle="miter"/>
              </v:line>
            </w:pict>
          </mc:Fallback>
        </mc:AlternateContent>
      </w:r>
      <w:r>
        <w:rPr>
          <w:bCs/>
          <w:iCs/>
        </w:rPr>
        <w:tab/>
      </w:r>
    </w:p>
    <w:p w14:paraId="26B5DC77" w14:textId="1FF16D47" w:rsidR="00912186" w:rsidRDefault="006A7F6C" w:rsidP="00912186">
      <w:pPr>
        <w:spacing w:line="480" w:lineRule="auto"/>
        <w:ind w:firstLine="709"/>
        <w:rPr>
          <w:bCs/>
          <w:iCs/>
        </w:rPr>
      </w:pPr>
      <w:r>
        <w:rPr>
          <w:bCs/>
          <w:iCs/>
          <w:noProof/>
        </w:rPr>
        <mc:AlternateContent>
          <mc:Choice Requires="wps">
            <w:drawing>
              <wp:anchor distT="0" distB="0" distL="114300" distR="114300" simplePos="0" relativeHeight="251672576" behindDoc="0" locked="0" layoutInCell="1" allowOverlap="1" wp14:anchorId="098B3F6D" wp14:editId="71446D69">
                <wp:simplePos x="0" y="0"/>
                <wp:positionH relativeFrom="column">
                  <wp:posOffset>3056255</wp:posOffset>
                </wp:positionH>
                <wp:positionV relativeFrom="paragraph">
                  <wp:posOffset>212090</wp:posOffset>
                </wp:positionV>
                <wp:extent cx="590550" cy="685800"/>
                <wp:effectExtent l="0" t="0" r="19050" b="19050"/>
                <wp:wrapNone/>
                <wp:docPr id="15" name="15 Conector recto"/>
                <wp:cNvGraphicFramePr/>
                <a:graphic xmlns:a="http://schemas.openxmlformats.org/drawingml/2006/main">
                  <a:graphicData uri="http://schemas.microsoft.com/office/word/2010/wordprocessingShape">
                    <wps:wsp>
                      <wps:cNvCnPr/>
                      <wps:spPr>
                        <a:xfrm flipH="1" flipV="1">
                          <a:off x="0" y="0"/>
                          <a:ext cx="590550" cy="6858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984B666" id="15 Conector recto" o:spid="_x0000_s1026" style="position:absolute;flip:x 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0.65pt,16.7pt" to="287.15pt,7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" strokecolor="black [3200]" strokeweight=".5pt">
                <v:stroke joinstyle="miter"/>
              </v:line>
            </w:pict>
          </mc:Fallback>
        </mc:AlternateContent>
      </w:r>
    </w:p>
    <w:p w14:paraId="29D7766E" w14:textId="6582110C" w:rsidR="00912186" w:rsidRDefault="00912186" w:rsidP="00912186">
      <w:pPr>
        <w:spacing w:line="480" w:lineRule="auto"/>
        <w:ind w:firstLine="709"/>
        <w:rPr>
          <w:bCs/>
          <w:iCs/>
        </w:rPr>
      </w:pPr>
      <w:r>
        <w:rPr>
          <w:bCs/>
          <w:iCs/>
          <w:noProof/>
        </w:rPr>
        <mc:AlternateContent>
          <mc:Choice Requires="wps">
            <w:drawing>
              <wp:anchor distT="0" distB="0" distL="114300" distR="114300" simplePos="0" relativeHeight="251661312" behindDoc="0" locked="0" layoutInCell="1" allowOverlap="1" wp14:anchorId="5AE87620" wp14:editId="07C7D9E6">
                <wp:simplePos x="0" y="0"/>
                <wp:positionH relativeFrom="column">
                  <wp:posOffset>-325120</wp:posOffset>
                </wp:positionH>
                <wp:positionV relativeFrom="paragraph">
                  <wp:posOffset>53975</wp:posOffset>
                </wp:positionV>
                <wp:extent cx="1914525" cy="371475"/>
                <wp:effectExtent l="0" t="0" r="28575" b="28575"/>
                <wp:wrapNone/>
                <wp:docPr id="4" name="4 Rectángulo"/>
                <wp:cNvGraphicFramePr/>
                <a:graphic xmlns:a="http://schemas.openxmlformats.org/drawingml/2006/main">
                  <a:graphicData uri="http://schemas.microsoft.com/office/word/2010/wordprocessingShape">
                    <wps:wsp>
                      <wps:cNvSpPr/>
                      <wps:spPr>
                        <a:xfrm>
                          <a:off x="0" y="0"/>
                          <a:ext cx="1914525" cy="3714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DEF0960" w14:textId="77777777" w:rsidR="00712063" w:rsidRPr="00A532A8" w:rsidRDefault="00712063" w:rsidP="00912186">
                            <w:pPr>
                              <w:jc w:val="center"/>
                              <w:rPr>
                                <w:b/>
                                <w:color w:val="000000" w:themeColor="text1"/>
                                <w:lang w:val="es-CO"/>
                              </w:rPr>
                            </w:pPr>
                            <w:r>
                              <w:rPr>
                                <w:b/>
                                <w:color w:val="000000" w:themeColor="text1"/>
                                <w:lang w:val="es-CO"/>
                              </w:rPr>
                              <w:t>Deber de información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4 Rectángulo" o:spid="_x0000_s1030" style="position:absolute;left:0;text-align:left;margin-left:-25.6pt;margin-top:4.25pt;width:150.75pt;height:29.2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" filled="f" strokecolor="black [3213]" strokeweight="1pt">
                <v:textbox>
                  <w:txbxContent>
                    <w:p w14:paraId="1DEF0960" w14:textId="77777777" w:rsidR="00712063" w:rsidRPr="00A532A8" w:rsidRDefault="00712063" w:rsidP="00912186">
                      <w:pPr>
                        <w:jc w:val="center"/>
                        <w:rPr>
                          <w:b/>
                          <w:color w:val="000000" w:themeColor="text1"/>
                          <w:lang w:val="es-CO"/>
                        </w:rPr>
                      </w:pPr>
                      <w:r>
                        <w:rPr>
                          <w:b/>
                          <w:color w:val="000000" w:themeColor="text1"/>
                          <w:lang w:val="es-CO"/>
                        </w:rPr>
                        <w:t>Deber de información</w:t>
                      </w:r>
                    </w:p>
                  </w:txbxContent>
                </v:textbox>
              </v:rect>
            </w:pict>
          </mc:Fallback>
        </mc:AlternateContent>
      </w:r>
    </w:p>
    <w:p w14:paraId="49E73273" w14:textId="6BD50264" w:rsidR="00912186" w:rsidRDefault="006A7F6C" w:rsidP="00912186">
      <w:pPr>
        <w:spacing w:line="480" w:lineRule="auto"/>
        <w:ind w:firstLine="709"/>
        <w:rPr>
          <w:bCs/>
          <w:iCs/>
        </w:rPr>
      </w:pPr>
      <w:r>
        <w:rPr>
          <w:bCs/>
          <w:iCs/>
          <w:noProof/>
        </w:rPr>
        <mc:AlternateContent>
          <mc:Choice Requires="wps">
            <w:drawing>
              <wp:anchor distT="0" distB="0" distL="114300" distR="114300" simplePos="0" relativeHeight="251673600" behindDoc="0" locked="0" layoutInCell="1" allowOverlap="1" wp14:anchorId="60FCD3A8" wp14:editId="7A39D6B6">
                <wp:simplePos x="0" y="0"/>
                <wp:positionH relativeFrom="column">
                  <wp:posOffset>3646806</wp:posOffset>
                </wp:positionH>
                <wp:positionV relativeFrom="paragraph">
                  <wp:posOffset>196850</wp:posOffset>
                </wp:positionV>
                <wp:extent cx="1485900" cy="447675"/>
                <wp:effectExtent l="0" t="0" r="19050" b="28575"/>
                <wp:wrapNone/>
                <wp:docPr id="16" name="16 Rectángulo"/>
                <wp:cNvGraphicFramePr/>
                <a:graphic xmlns:a="http://schemas.openxmlformats.org/drawingml/2006/main">
                  <a:graphicData uri="http://schemas.microsoft.com/office/word/2010/wordprocessingShape">
                    <wps:wsp>
                      <wps:cNvSpPr/>
                      <wps:spPr>
                        <a:xfrm>
                          <a:off x="0" y="0"/>
                          <a:ext cx="1485900" cy="4476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DF8D423" w14:textId="342A9E26" w:rsidR="00712063" w:rsidRPr="00A532A8" w:rsidRDefault="00712063" w:rsidP="00574814">
                            <w:pPr>
                              <w:rPr>
                                <w:b/>
                                <w:color w:val="000000" w:themeColor="text1"/>
                                <w:lang w:val="es-CO"/>
                              </w:rPr>
                            </w:pPr>
                            <w:r>
                              <w:rPr>
                                <w:b/>
                                <w:color w:val="000000" w:themeColor="text1"/>
                                <w:lang w:val="es-CO"/>
                              </w:rPr>
                              <w:t>Indemnización de perjuicios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16 Rectángulo" o:spid="_x0000_s1031" style="position:absolute;left:0;text-align:left;margin-left:287.15pt;margin-top:15.5pt;width:117pt;height:35.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" filled="f" strokecolor="black [3213]" strokeweight="1pt">
                <v:textbox>
                  <w:txbxContent>
                    <w:p w14:paraId="0DF8D423" w14:textId="342A9E26" w:rsidR="00712063" w:rsidRPr="00A532A8" w:rsidRDefault="00712063" w:rsidP="00574814">
                      <w:pPr>
                        <w:rPr>
                          <w:b/>
                          <w:color w:val="000000" w:themeColor="text1"/>
                          <w:lang w:val="es-CO"/>
                        </w:rPr>
                      </w:pPr>
                      <w:r>
                        <w:rPr>
                          <w:b/>
                          <w:color w:val="000000" w:themeColor="text1"/>
                          <w:lang w:val="es-CO"/>
                        </w:rPr>
                        <w:t>Indemnización de perjuicios</w:t>
                      </w:r>
                    </w:p>
                  </w:txbxContent>
                </v:textbox>
              </v:rect>
            </w:pict>
          </mc:Fallback>
        </mc:AlternateContent>
      </w:r>
      <w:r w:rsidR="00BF0F02">
        <w:rPr>
          <w:bCs/>
          <w:iCs/>
          <w:noProof/>
        </w:rPr>
        <mc:AlternateContent>
          <mc:Choice Requires="wps">
            <w:drawing>
              <wp:anchor distT="0" distB="0" distL="114300" distR="114300" simplePos="0" relativeHeight="251668480" behindDoc="0" locked="0" layoutInCell="1" allowOverlap="1" wp14:anchorId="1D204A6F" wp14:editId="0B9CA4C2">
                <wp:simplePos x="0" y="0"/>
                <wp:positionH relativeFrom="column">
                  <wp:posOffset>1589405</wp:posOffset>
                </wp:positionH>
                <wp:positionV relativeFrom="paragraph">
                  <wp:posOffset>73660</wp:posOffset>
                </wp:positionV>
                <wp:extent cx="228600" cy="332740"/>
                <wp:effectExtent l="0" t="0" r="19050" b="29210"/>
                <wp:wrapNone/>
                <wp:docPr id="11" name="11 Conector recto"/>
                <wp:cNvGraphicFramePr/>
                <a:graphic xmlns:a="http://schemas.openxmlformats.org/drawingml/2006/main">
                  <a:graphicData uri="http://schemas.microsoft.com/office/word/2010/wordprocessingShape">
                    <wps:wsp>
                      <wps:cNvCnPr/>
                      <wps:spPr>
                        <a:xfrm flipH="1" flipV="1">
                          <a:off x="0" y="0"/>
                          <a:ext cx="228600" cy="33274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F26FEEA" id="11 Conector recto" o:spid="_x0000_s1026" style="position:absolute;flip:x 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5.15pt,5.8pt" to="143.15pt,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" strokecolor="black [3200]" strokeweight=".5pt">
                <v:stroke joinstyle="miter"/>
              </v:line>
            </w:pict>
          </mc:Fallback>
        </mc:AlternateContent>
      </w:r>
      <w:r w:rsidR="00912186">
        <w:rPr>
          <w:bCs/>
          <w:iCs/>
          <w:noProof/>
        </w:rPr>
        <mc:AlternateContent>
          <mc:Choice Requires="wps">
            <w:drawing>
              <wp:anchor distT="0" distB="0" distL="114300" distR="114300" simplePos="0" relativeHeight="251662336" behindDoc="0" locked="0" layoutInCell="1" allowOverlap="1" wp14:anchorId="3BC675A0" wp14:editId="479B58B6">
                <wp:simplePos x="0" y="0"/>
                <wp:positionH relativeFrom="column">
                  <wp:posOffset>551180</wp:posOffset>
                </wp:positionH>
                <wp:positionV relativeFrom="paragraph">
                  <wp:posOffset>74930</wp:posOffset>
                </wp:positionV>
                <wp:extent cx="1" cy="333375"/>
                <wp:effectExtent l="0" t="0" r="19050" b="9525"/>
                <wp:wrapNone/>
                <wp:docPr id="5" name="5 Conector recto"/>
                <wp:cNvGraphicFramePr/>
                <a:graphic xmlns:a="http://schemas.openxmlformats.org/drawingml/2006/main">
                  <a:graphicData uri="http://schemas.microsoft.com/office/word/2010/wordprocessingShape">
                    <wps:wsp>
                      <wps:cNvCnPr/>
                      <wps:spPr>
                        <a:xfrm>
                          <a:off x="0" y="0"/>
                          <a:ext cx="1" cy="3333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89CFD85" id="5 Conector recto"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3.4pt,5.9pt" to="43.4pt,3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" strokecolor="black [3200]" strokeweight=".5pt">
                <v:stroke joinstyle="miter"/>
              </v:line>
            </w:pict>
          </mc:Fallback>
        </mc:AlternateContent>
      </w:r>
    </w:p>
    <w:p w14:paraId="45875379" w14:textId="49D4E7A7" w:rsidR="00912186" w:rsidRDefault="006A7F6C" w:rsidP="00912186">
      <w:pPr>
        <w:spacing w:line="480" w:lineRule="auto"/>
        <w:ind w:firstLine="709"/>
        <w:rPr>
          <w:bCs/>
          <w:iCs/>
        </w:rPr>
      </w:pPr>
      <w:r>
        <w:rPr>
          <w:bCs/>
          <w:iCs/>
          <w:noProof/>
        </w:rPr>
        <mc:AlternateContent>
          <mc:Choice Requires="wps">
            <w:drawing>
              <wp:anchor distT="0" distB="0" distL="114300" distR="114300" simplePos="0" relativeHeight="251675648" behindDoc="0" locked="0" layoutInCell="1" allowOverlap="1" wp14:anchorId="3C9937ED" wp14:editId="18FEF312">
                <wp:simplePos x="0" y="0"/>
                <wp:positionH relativeFrom="column">
                  <wp:posOffset>4361180</wp:posOffset>
                </wp:positionH>
                <wp:positionV relativeFrom="paragraph">
                  <wp:posOffset>303530</wp:posOffset>
                </wp:positionV>
                <wp:extent cx="0" cy="342900"/>
                <wp:effectExtent l="0" t="0" r="19050" b="19050"/>
                <wp:wrapNone/>
                <wp:docPr id="17" name="17 Conector recto"/>
                <wp:cNvGraphicFramePr/>
                <a:graphic xmlns:a="http://schemas.openxmlformats.org/drawingml/2006/main">
                  <a:graphicData uri="http://schemas.microsoft.com/office/word/2010/wordprocessingShape">
                    <wps:wsp>
                      <wps:cNvCnPr/>
                      <wps:spPr>
                        <a:xfrm flipV="1">
                          <a:off x="0" y="0"/>
                          <a:ext cx="0" cy="3429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8D3B084" id="17 Conector recto" o:spid="_x0000_s1026" style="position:absolute;flip:y;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3.4pt,23.9pt" to="343.4pt,5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" strokecolor="black [3200]" strokeweight=".5pt">
                <v:stroke joinstyle="miter"/>
              </v:line>
            </w:pict>
          </mc:Fallback>
        </mc:AlternateContent>
      </w:r>
      <w:r w:rsidR="00BF0F02">
        <w:rPr>
          <w:bCs/>
          <w:iCs/>
          <w:noProof/>
        </w:rPr>
        <mc:AlternateContent>
          <mc:Choice Requires="wps">
            <w:drawing>
              <wp:anchor distT="0" distB="0" distL="114300" distR="114300" simplePos="0" relativeHeight="251669504" behindDoc="0" locked="0" layoutInCell="1" allowOverlap="1" wp14:anchorId="2DA712F0" wp14:editId="41768E7E">
                <wp:simplePos x="0" y="0"/>
                <wp:positionH relativeFrom="column">
                  <wp:posOffset>1589405</wp:posOffset>
                </wp:positionH>
                <wp:positionV relativeFrom="paragraph">
                  <wp:posOffset>57785</wp:posOffset>
                </wp:positionV>
                <wp:extent cx="1914525" cy="466725"/>
                <wp:effectExtent l="0" t="0" r="28575" b="28575"/>
                <wp:wrapNone/>
                <wp:docPr id="12" name="12 Rectángulo"/>
                <wp:cNvGraphicFramePr/>
                <a:graphic xmlns:a="http://schemas.openxmlformats.org/drawingml/2006/main">
                  <a:graphicData uri="http://schemas.microsoft.com/office/word/2010/wordprocessingShape">
                    <wps:wsp>
                      <wps:cNvSpPr/>
                      <wps:spPr>
                        <a:xfrm>
                          <a:off x="0" y="0"/>
                          <a:ext cx="1914525" cy="46672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647665D" w14:textId="77777777" w:rsidR="00712063" w:rsidRPr="00B7300B" w:rsidRDefault="00712063" w:rsidP="00912186">
                            <w:pPr>
                              <w:jc w:val="center"/>
                              <w:rPr>
                                <w:b/>
                                <w:color w:val="000000" w:themeColor="text1"/>
                                <w:lang w:val="es-CO"/>
                              </w:rPr>
                            </w:pPr>
                            <w:r>
                              <w:rPr>
                                <w:b/>
                                <w:color w:val="000000" w:themeColor="text1"/>
                                <w:lang w:val="es-CO"/>
                              </w:rPr>
                              <w:t>Inversión de la carga de la prueba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12 Rectángulo" o:spid="_x0000_s1032" style="position:absolute;left:0;text-align:left;margin-left:125.15pt;margin-top:4.55pt;width:150.75pt;height:36.75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" filled="f" strokecolor="black [3213]" strokeweight="1pt">
                <v:textbox>
                  <w:txbxContent>
                    <w:p w14:paraId="7647665D" w14:textId="77777777" w:rsidR="00712063" w:rsidRPr="00B7300B" w:rsidRDefault="00712063" w:rsidP="00912186">
                      <w:pPr>
                        <w:jc w:val="center"/>
                        <w:rPr>
                          <w:b/>
                          <w:color w:val="000000" w:themeColor="text1"/>
                          <w:lang w:val="es-CO"/>
                        </w:rPr>
                      </w:pPr>
                      <w:r>
                        <w:rPr>
                          <w:b/>
                          <w:color w:val="000000" w:themeColor="text1"/>
                          <w:lang w:val="es-CO"/>
                        </w:rPr>
                        <w:t>Inversión de la carga de la prueba</w:t>
                      </w:r>
                    </w:p>
                  </w:txbxContent>
                </v:textbox>
              </v:rect>
            </w:pict>
          </mc:Fallback>
        </mc:AlternateContent>
      </w:r>
      <w:r w:rsidR="00BF0F02">
        <w:rPr>
          <w:bCs/>
          <w:iCs/>
          <w:noProof/>
        </w:rPr>
        <mc:AlternateContent>
          <mc:Choice Requires="wps">
            <w:drawing>
              <wp:anchor distT="0" distB="0" distL="114300" distR="114300" simplePos="0" relativeHeight="251663360" behindDoc="0" locked="0" layoutInCell="1" allowOverlap="1" wp14:anchorId="57138690" wp14:editId="47090E4E">
                <wp:simplePos x="0" y="0"/>
                <wp:positionH relativeFrom="column">
                  <wp:posOffset>-477520</wp:posOffset>
                </wp:positionH>
                <wp:positionV relativeFrom="paragraph">
                  <wp:posOffset>56515</wp:posOffset>
                </wp:positionV>
                <wp:extent cx="1838325" cy="952500"/>
                <wp:effectExtent l="0" t="0" r="28575" b="19050"/>
                <wp:wrapNone/>
                <wp:docPr id="6" name="6 Rectángulo"/>
                <wp:cNvGraphicFramePr/>
                <a:graphic xmlns:a="http://schemas.openxmlformats.org/drawingml/2006/main">
                  <a:graphicData uri="http://schemas.microsoft.com/office/word/2010/wordprocessingShape">
                    <wps:wsp>
                      <wps:cNvSpPr/>
                      <wps:spPr>
                        <a:xfrm>
                          <a:off x="0" y="0"/>
                          <a:ext cx="1838325" cy="9525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C2EEA5C" w14:textId="0BDA25AD" w:rsidR="00712063" w:rsidRPr="00914651" w:rsidRDefault="00712063" w:rsidP="00912186">
                            <w:pPr>
                              <w:jc w:val="center"/>
                              <w:rPr>
                                <w:lang w:val="es-CO"/>
                                <w14:textOutline w14:w="9525" w14:cap="rnd" w14:cmpd="sng" w14:algn="ctr">
                                  <w14:solidFill>
                                    <w14:srgbClr w14:val="000000"/>
                                  </w14:solidFill>
                                  <w14:prstDash w14:val="solid"/>
                                  <w14:bevel/>
                                </w14:textOutline>
                              </w:rPr>
                            </w:pPr>
                            <w:r>
                              <w:rPr>
                                <w:color w:val="000000" w:themeColor="text1"/>
                                <w:lang w:val="es-CO"/>
                              </w:rPr>
                              <w:t xml:space="preserve">Los promotores de las </w:t>
                            </w:r>
                            <w:r w:rsidRPr="006A7F6C">
                              <w:rPr>
                                <w:color w:val="000000" w:themeColor="text1"/>
                                <w:lang w:val="es-CO"/>
                              </w:rPr>
                              <w:t>AFP deben brindar asesoría suficiente, clara y oportuna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6 Rectángulo" o:spid="_x0000_s1033" style="position:absolute;left:0;text-align:left;margin-left:-37.6pt;margin-top:4.45pt;width:144.75pt;height: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" filled="f" strokecolor="black [3213]" strokeweight="1pt">
                <v:textbox>
                  <w:txbxContent>
                    <w:p w14:paraId="2C2EEA5C" w14:textId="0BDA25AD" w:rsidR="00712063" w:rsidRPr="00914651" w:rsidRDefault="00712063" w:rsidP="00912186">
                      <w:pPr>
                        <w:jc w:val="center"/>
                        <w:rPr>
                          <w:lang w:val="es-CO"/>
                          <w14:textOutline w14:w="9525" w14:cap="rnd" w14:cmpd="sng" w14:algn="ctr">
                            <w14:solidFill>
                              <w14:srgbClr w14:val="000000"/>
                            </w14:solidFill>
                            <w14:prstDash w14:val="solid"/>
                            <w14:bevel/>
                          </w14:textOutline>
                        </w:rPr>
                      </w:pPr>
                      <w:r>
                        <w:rPr>
                          <w:color w:val="000000" w:themeColor="text1"/>
                          <w:lang w:val="es-CO"/>
                        </w:rPr>
                        <w:t xml:space="preserve">Los promotores de las </w:t>
                      </w:r>
                      <w:r w:rsidRPr="006A7F6C">
                        <w:rPr>
                          <w:color w:val="000000" w:themeColor="text1"/>
                          <w:lang w:val="es-CO"/>
                        </w:rPr>
                        <w:t>AFP deben brindar asesoría suficiente, clara y oportuna</w:t>
                      </w:r>
                    </w:p>
                  </w:txbxContent>
                </v:textbox>
              </v:rect>
            </w:pict>
          </mc:Fallback>
        </mc:AlternateContent>
      </w:r>
    </w:p>
    <w:p w14:paraId="739A1FCC" w14:textId="4DBDF63F" w:rsidR="00912186" w:rsidRDefault="006A7F6C" w:rsidP="00912186">
      <w:pPr>
        <w:spacing w:line="480" w:lineRule="auto"/>
        <w:ind w:firstLine="709"/>
        <w:rPr>
          <w:bCs/>
          <w:iCs/>
        </w:rPr>
      </w:pPr>
      <w:r>
        <w:rPr>
          <w:bCs/>
          <w:iCs/>
          <w:noProof/>
        </w:rPr>
        <mc:AlternateContent>
          <mc:Choice Requires="wps">
            <w:drawing>
              <wp:anchor distT="0" distB="0" distL="114300" distR="114300" simplePos="0" relativeHeight="251677696" behindDoc="0" locked="0" layoutInCell="1" allowOverlap="1" wp14:anchorId="0B530EA6" wp14:editId="2A1D6BFD">
                <wp:simplePos x="0" y="0"/>
                <wp:positionH relativeFrom="column">
                  <wp:posOffset>3589655</wp:posOffset>
                </wp:positionH>
                <wp:positionV relativeFrom="paragraph">
                  <wp:posOffset>295910</wp:posOffset>
                </wp:positionV>
                <wp:extent cx="1666875" cy="962025"/>
                <wp:effectExtent l="0" t="0" r="28575" b="28575"/>
                <wp:wrapNone/>
                <wp:docPr id="18" name="18 Rectángulo"/>
                <wp:cNvGraphicFramePr/>
                <a:graphic xmlns:a="http://schemas.openxmlformats.org/drawingml/2006/main">
                  <a:graphicData uri="http://schemas.microsoft.com/office/word/2010/wordprocessingShape">
                    <wps:wsp>
                      <wps:cNvSpPr/>
                      <wps:spPr>
                        <a:xfrm>
                          <a:off x="0" y="0"/>
                          <a:ext cx="1666875" cy="96202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C764509" w14:textId="4FD52B74" w:rsidR="00712063" w:rsidRPr="00914651" w:rsidRDefault="00712063" w:rsidP="00BF0F02">
                            <w:pPr>
                              <w:jc w:val="center"/>
                              <w:rPr>
                                <w:lang w:val="es-CO"/>
                                <w14:textOutline w14:w="9525" w14:cap="rnd" w14:cmpd="sng" w14:algn="ctr">
                                  <w14:solidFill>
                                    <w14:srgbClr w14:val="000000"/>
                                  </w14:solidFill>
                                  <w14:prstDash w14:val="solid"/>
                                  <w14:bevel/>
                                </w14:textOutline>
                              </w:rPr>
                            </w:pPr>
                            <w:r>
                              <w:rPr>
                                <w:color w:val="000000" w:themeColor="text1"/>
                                <w:lang w:val="es-CO"/>
                              </w:rPr>
                              <w:t>Las AFP son responsables de los perjuicios que por su culpa leve ocasionen a los afiliados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18 Rectángulo" o:spid="_x0000_s1034" style="position:absolute;left:0;text-align:left;margin-left:282.65pt;margin-top:23.3pt;width:131.25pt;height:75.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" filled="f" strokecolor="black [3213]" strokeweight="1pt">
                <v:textbox>
                  <w:txbxContent>
                    <w:p w14:paraId="7C764509" w14:textId="4FD52B74" w:rsidR="00712063" w:rsidRPr="00914651" w:rsidRDefault="00712063" w:rsidP="00BF0F02">
                      <w:pPr>
                        <w:jc w:val="center"/>
                        <w:rPr>
                          <w:lang w:val="es-CO"/>
                          <w14:textOutline w14:w="9525" w14:cap="rnd" w14:cmpd="sng" w14:algn="ctr">
                            <w14:solidFill>
                              <w14:srgbClr w14:val="000000"/>
                            </w14:solidFill>
                            <w14:prstDash w14:val="solid"/>
                            <w14:bevel/>
                          </w14:textOutline>
                        </w:rPr>
                      </w:pPr>
                      <w:r>
                        <w:rPr>
                          <w:color w:val="000000" w:themeColor="text1"/>
                          <w:lang w:val="es-CO"/>
                        </w:rPr>
                        <w:t>Las AFP son responsables de los perjuicios que por su culpa leve ocasionen a los afiliados</w:t>
                      </w:r>
                    </w:p>
                  </w:txbxContent>
                </v:textbox>
              </v:rect>
            </w:pict>
          </mc:Fallback>
        </mc:AlternateContent>
      </w:r>
      <w:r w:rsidR="00912186">
        <w:rPr>
          <w:bCs/>
          <w:iCs/>
          <w:noProof/>
        </w:rPr>
        <mc:AlternateContent>
          <mc:Choice Requires="wps">
            <w:drawing>
              <wp:anchor distT="0" distB="0" distL="114300" distR="114300" simplePos="0" relativeHeight="251670528" behindDoc="0" locked="0" layoutInCell="1" allowOverlap="1" wp14:anchorId="556A12FE" wp14:editId="4B8A1B1B">
                <wp:simplePos x="0" y="0"/>
                <wp:positionH relativeFrom="column">
                  <wp:posOffset>2503805</wp:posOffset>
                </wp:positionH>
                <wp:positionV relativeFrom="paragraph">
                  <wp:posOffset>173990</wp:posOffset>
                </wp:positionV>
                <wp:extent cx="9525" cy="333375"/>
                <wp:effectExtent l="0" t="0" r="28575" b="28575"/>
                <wp:wrapNone/>
                <wp:docPr id="13" name="13 Conector recto"/>
                <wp:cNvGraphicFramePr/>
                <a:graphic xmlns:a="http://schemas.openxmlformats.org/drawingml/2006/main">
                  <a:graphicData uri="http://schemas.microsoft.com/office/word/2010/wordprocessingShape">
                    <wps:wsp>
                      <wps:cNvCnPr/>
                      <wps:spPr>
                        <a:xfrm>
                          <a:off x="0" y="0"/>
                          <a:ext cx="9525" cy="3333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F9D45AD" id="13 Conector recto" o:spid="_x0000_s1026" style="position:absolute;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97.15pt,13.7pt" to="197.9pt,3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" strokecolor="black [3200]" strokeweight=".5pt">
                <v:stroke joinstyle="miter"/>
              </v:line>
            </w:pict>
          </mc:Fallback>
        </mc:AlternateContent>
      </w:r>
    </w:p>
    <w:p w14:paraId="7AC2C2F3" w14:textId="4424E77A" w:rsidR="00912186" w:rsidRDefault="00BF0F02" w:rsidP="00912186">
      <w:pPr>
        <w:spacing w:line="480" w:lineRule="auto"/>
        <w:ind w:firstLine="709"/>
        <w:rPr>
          <w:bCs/>
          <w:iCs/>
        </w:rPr>
      </w:pPr>
      <w:r>
        <w:rPr>
          <w:bCs/>
          <w:iCs/>
          <w:noProof/>
        </w:rPr>
        <mc:AlternateContent>
          <mc:Choice Requires="wps">
            <w:drawing>
              <wp:anchor distT="0" distB="0" distL="114300" distR="114300" simplePos="0" relativeHeight="251671552" behindDoc="0" locked="0" layoutInCell="1" allowOverlap="1" wp14:anchorId="5C7624D2" wp14:editId="13748148">
                <wp:simplePos x="0" y="0"/>
                <wp:positionH relativeFrom="column">
                  <wp:posOffset>1589405</wp:posOffset>
                </wp:positionH>
                <wp:positionV relativeFrom="paragraph">
                  <wp:posOffset>179251</wp:posOffset>
                </wp:positionV>
                <wp:extent cx="1790700" cy="1066800"/>
                <wp:effectExtent l="0" t="0" r="38100" b="25400"/>
                <wp:wrapNone/>
                <wp:docPr id="14" name="14 Rectángulo"/>
                <wp:cNvGraphicFramePr/>
                <a:graphic xmlns:a="http://schemas.openxmlformats.org/drawingml/2006/main">
                  <a:graphicData uri="http://schemas.microsoft.com/office/word/2010/wordprocessingShape">
                    <wps:wsp>
                      <wps:cNvSpPr/>
                      <wps:spPr>
                        <a:xfrm>
                          <a:off x="0" y="0"/>
                          <a:ext cx="1790700" cy="10668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EE1868B" w14:textId="77777777" w:rsidR="00712063" w:rsidRPr="00914651" w:rsidRDefault="00712063" w:rsidP="00912186">
                            <w:pPr>
                              <w:jc w:val="center"/>
                              <w:rPr>
                                <w:lang w:val="es-CO"/>
                                <w14:textOutline w14:w="9525" w14:cap="rnd" w14:cmpd="sng" w14:algn="ctr">
                                  <w14:solidFill>
                                    <w14:srgbClr w14:val="000000"/>
                                  </w14:solidFill>
                                  <w14:prstDash w14:val="solid"/>
                                  <w14:bevel/>
                                </w14:textOutline>
                              </w:rPr>
                            </w:pPr>
                            <w:r>
                              <w:rPr>
                                <w:color w:val="000000" w:themeColor="text1"/>
                                <w:lang w:val="es-CO"/>
                              </w:rPr>
                              <w:t>Las AFP deben demostrar que se brindó la información en debida forma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14 Rectángulo" o:spid="_x0000_s1035" style="position:absolute;left:0;text-align:left;margin-left:125.15pt;margin-top:14.1pt;width:141pt;height:84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" filled="f" strokecolor="black [3213]" strokeweight="1pt">
                <v:textbox>
                  <w:txbxContent>
                    <w:p w14:paraId="1EE1868B" w14:textId="77777777" w:rsidR="00712063" w:rsidRPr="00914651" w:rsidRDefault="00712063" w:rsidP="00912186">
                      <w:pPr>
                        <w:jc w:val="center"/>
                        <w:rPr>
                          <w:lang w:val="es-CO"/>
                          <w14:textOutline w14:w="9525" w14:cap="rnd" w14:cmpd="sng" w14:algn="ctr">
                            <w14:solidFill>
                              <w14:srgbClr w14:val="000000"/>
                            </w14:solidFill>
                            <w14:prstDash w14:val="solid"/>
                            <w14:bevel/>
                          </w14:textOutline>
                        </w:rPr>
                      </w:pPr>
                      <w:r>
                        <w:rPr>
                          <w:color w:val="000000" w:themeColor="text1"/>
                          <w:lang w:val="es-CO"/>
                        </w:rPr>
                        <w:t>Las AFP deben demostrar que se brindó la información en debida forma</w:t>
                      </w:r>
                    </w:p>
                  </w:txbxContent>
                </v:textbox>
              </v:rect>
            </w:pict>
          </mc:Fallback>
        </mc:AlternateContent>
      </w:r>
      <w:r>
        <w:rPr>
          <w:bCs/>
          <w:iCs/>
          <w:noProof/>
        </w:rPr>
        <mc:AlternateContent>
          <mc:Choice Requires="wps">
            <w:drawing>
              <wp:anchor distT="0" distB="0" distL="114300" distR="114300" simplePos="0" relativeHeight="251664384" behindDoc="0" locked="0" layoutInCell="1" allowOverlap="1" wp14:anchorId="3F34690D" wp14:editId="56FDFC82">
                <wp:simplePos x="0" y="0"/>
                <wp:positionH relativeFrom="column">
                  <wp:posOffset>455930</wp:posOffset>
                </wp:positionH>
                <wp:positionV relativeFrom="paragraph">
                  <wp:posOffset>307975</wp:posOffset>
                </wp:positionV>
                <wp:extent cx="0" cy="276225"/>
                <wp:effectExtent l="0" t="0" r="19050" b="9525"/>
                <wp:wrapNone/>
                <wp:docPr id="7" name="7 Conector recto"/>
                <wp:cNvGraphicFramePr/>
                <a:graphic xmlns:a="http://schemas.openxmlformats.org/drawingml/2006/main">
                  <a:graphicData uri="http://schemas.microsoft.com/office/word/2010/wordprocessingShape">
                    <wps:wsp>
                      <wps:cNvCnPr/>
                      <wps:spPr>
                        <a:xfrm>
                          <a:off x="0" y="0"/>
                          <a:ext cx="0" cy="2762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FD6CBD0" id="7 Conector recto"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9pt,24.25pt" to="35.9pt,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" strokecolor="black [3200]" strokeweight=".5pt">
                <v:stroke joinstyle="miter"/>
              </v:line>
            </w:pict>
          </mc:Fallback>
        </mc:AlternateContent>
      </w:r>
    </w:p>
    <w:p w14:paraId="1CBDEF6C" w14:textId="7967937B" w:rsidR="00912186" w:rsidRDefault="00912186" w:rsidP="00912186">
      <w:pPr>
        <w:spacing w:line="480" w:lineRule="auto"/>
        <w:ind w:firstLine="709"/>
        <w:rPr>
          <w:bCs/>
          <w:iCs/>
        </w:rPr>
      </w:pPr>
      <w:r>
        <w:rPr>
          <w:bCs/>
          <w:iCs/>
          <w:noProof/>
        </w:rPr>
        <mc:AlternateContent>
          <mc:Choice Requires="wps">
            <w:drawing>
              <wp:anchor distT="0" distB="0" distL="114300" distR="114300" simplePos="0" relativeHeight="251665408" behindDoc="0" locked="0" layoutInCell="1" allowOverlap="1" wp14:anchorId="4BF161EA" wp14:editId="15BEC31D">
                <wp:simplePos x="0" y="0"/>
                <wp:positionH relativeFrom="column">
                  <wp:posOffset>-410845</wp:posOffset>
                </wp:positionH>
                <wp:positionV relativeFrom="paragraph">
                  <wp:posOffset>235585</wp:posOffset>
                </wp:positionV>
                <wp:extent cx="1914525" cy="371475"/>
                <wp:effectExtent l="0" t="0" r="28575" b="28575"/>
                <wp:wrapNone/>
                <wp:docPr id="8" name="8 Rectángulo"/>
                <wp:cNvGraphicFramePr/>
                <a:graphic xmlns:a="http://schemas.openxmlformats.org/drawingml/2006/main">
                  <a:graphicData uri="http://schemas.microsoft.com/office/word/2010/wordprocessingShape">
                    <wps:wsp>
                      <wps:cNvSpPr/>
                      <wps:spPr>
                        <a:xfrm>
                          <a:off x="0" y="0"/>
                          <a:ext cx="1914525" cy="3714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CF34209" w14:textId="77777777" w:rsidR="00712063" w:rsidRPr="00B7300B" w:rsidRDefault="00712063" w:rsidP="00912186">
                            <w:pPr>
                              <w:jc w:val="center"/>
                              <w:rPr>
                                <w:b/>
                                <w:color w:val="000000" w:themeColor="text1"/>
                                <w:lang w:val="es-CO"/>
                              </w:rPr>
                            </w:pPr>
                            <w:r w:rsidRPr="00B7300B">
                              <w:rPr>
                                <w:b/>
                                <w:color w:val="000000" w:themeColor="text1"/>
                                <w:lang w:val="es-CO"/>
                              </w:rPr>
                              <w:t>Libertad de elección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8 Rectángulo" o:spid="_x0000_s1036" style="position:absolute;left:0;text-align:left;margin-left:-32.35pt;margin-top:18.55pt;width:150.75pt;height:29.25pt;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" filled="f" strokecolor="black [3213]" strokeweight="1pt">
                <v:textbox>
                  <w:txbxContent>
                    <w:p w14:paraId="4CF34209" w14:textId="77777777" w:rsidR="00712063" w:rsidRPr="00B7300B" w:rsidRDefault="00712063" w:rsidP="00912186">
                      <w:pPr>
                        <w:jc w:val="center"/>
                        <w:rPr>
                          <w:b/>
                          <w:color w:val="000000" w:themeColor="text1"/>
                          <w:lang w:val="es-CO"/>
                        </w:rPr>
                      </w:pPr>
                      <w:r w:rsidRPr="00B7300B">
                        <w:rPr>
                          <w:b/>
                          <w:color w:val="000000" w:themeColor="text1"/>
                          <w:lang w:val="es-CO"/>
                        </w:rPr>
                        <w:t>Libertad de elección</w:t>
                      </w:r>
                    </w:p>
                  </w:txbxContent>
                </v:textbox>
              </v:rect>
            </w:pict>
          </mc:Fallback>
        </mc:AlternateContent>
      </w:r>
    </w:p>
    <w:p w14:paraId="3D96C18D" w14:textId="0B187C6E" w:rsidR="00912186" w:rsidRDefault="006A7F6C" w:rsidP="00912186">
      <w:pPr>
        <w:spacing w:line="480" w:lineRule="auto"/>
        <w:ind w:firstLine="709"/>
        <w:rPr>
          <w:bCs/>
          <w:iCs/>
        </w:rPr>
      </w:pPr>
      <w:r>
        <w:rPr>
          <w:bCs/>
          <w:iCs/>
          <w:noProof/>
        </w:rPr>
        <mc:AlternateContent>
          <mc:Choice Requires="wps">
            <w:drawing>
              <wp:anchor distT="0" distB="0" distL="114300" distR="114300" simplePos="0" relativeHeight="251679744" behindDoc="0" locked="0" layoutInCell="1" allowOverlap="1" wp14:anchorId="6F8A9E09" wp14:editId="163517D9">
                <wp:simplePos x="0" y="0"/>
                <wp:positionH relativeFrom="column">
                  <wp:posOffset>4361180</wp:posOffset>
                </wp:positionH>
                <wp:positionV relativeFrom="paragraph">
                  <wp:posOffset>207645</wp:posOffset>
                </wp:positionV>
                <wp:extent cx="0" cy="342900"/>
                <wp:effectExtent l="0" t="0" r="19050" b="19050"/>
                <wp:wrapNone/>
                <wp:docPr id="19" name="19 Conector recto"/>
                <wp:cNvGraphicFramePr/>
                <a:graphic xmlns:a="http://schemas.openxmlformats.org/drawingml/2006/main">
                  <a:graphicData uri="http://schemas.microsoft.com/office/word/2010/wordprocessingShape">
                    <wps:wsp>
                      <wps:cNvCnPr/>
                      <wps:spPr>
                        <a:xfrm flipV="1">
                          <a:off x="0" y="0"/>
                          <a:ext cx="0" cy="3429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724FC76" id="19 Conector recto" o:spid="_x0000_s1026" style="position:absolute;flip:y;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3.4pt,16.35pt" to="343.4pt,4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" strokecolor="black [3200]" strokeweight=".5pt">
                <v:stroke joinstyle="miter"/>
              </v:line>
            </w:pict>
          </mc:Fallback>
        </mc:AlternateContent>
      </w:r>
      <w:r w:rsidR="00912186">
        <w:rPr>
          <w:bCs/>
          <w:iCs/>
          <w:noProof/>
        </w:rPr>
        <mc:AlternateContent>
          <mc:Choice Requires="wps">
            <w:drawing>
              <wp:anchor distT="0" distB="0" distL="114300" distR="114300" simplePos="0" relativeHeight="251666432" behindDoc="0" locked="0" layoutInCell="1" allowOverlap="1" wp14:anchorId="4B59CE2D" wp14:editId="1152F040">
                <wp:simplePos x="0" y="0"/>
                <wp:positionH relativeFrom="column">
                  <wp:posOffset>446405</wp:posOffset>
                </wp:positionH>
                <wp:positionV relativeFrom="paragraph">
                  <wp:posOffset>256540</wp:posOffset>
                </wp:positionV>
                <wp:extent cx="9525" cy="333375"/>
                <wp:effectExtent l="0" t="0" r="28575" b="28575"/>
                <wp:wrapNone/>
                <wp:docPr id="9" name="9 Conector recto"/>
                <wp:cNvGraphicFramePr/>
                <a:graphic xmlns:a="http://schemas.openxmlformats.org/drawingml/2006/main">
                  <a:graphicData uri="http://schemas.microsoft.com/office/word/2010/wordprocessingShape">
                    <wps:wsp>
                      <wps:cNvCnPr/>
                      <wps:spPr>
                        <a:xfrm>
                          <a:off x="0" y="0"/>
                          <a:ext cx="9525" cy="3333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A2E1B8D" id="9 Conector recto" o:spid="_x0000_s1026" style="position:absolute;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5.15pt,20.2pt" to="35.9pt,4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" strokecolor="black [3200]" strokeweight=".5pt">
                <v:stroke joinstyle="miter"/>
              </v:line>
            </w:pict>
          </mc:Fallback>
        </mc:AlternateContent>
      </w:r>
    </w:p>
    <w:p w14:paraId="5B8C045B" w14:textId="149059ED" w:rsidR="00912186" w:rsidRDefault="006A7F6C" w:rsidP="00912186">
      <w:pPr>
        <w:spacing w:line="480" w:lineRule="auto"/>
        <w:ind w:firstLine="709"/>
        <w:rPr>
          <w:bCs/>
          <w:iCs/>
        </w:rPr>
      </w:pPr>
      <w:r>
        <w:rPr>
          <w:bCs/>
          <w:iCs/>
          <w:noProof/>
        </w:rPr>
        <mc:AlternateContent>
          <mc:Choice Requires="wps">
            <w:drawing>
              <wp:anchor distT="0" distB="0" distL="114300" distR="114300" simplePos="0" relativeHeight="251681792" behindDoc="0" locked="0" layoutInCell="1" allowOverlap="1" wp14:anchorId="545AAEAA" wp14:editId="44AD349D">
                <wp:simplePos x="0" y="0"/>
                <wp:positionH relativeFrom="column">
                  <wp:posOffset>3465830</wp:posOffset>
                </wp:positionH>
                <wp:positionV relativeFrom="paragraph">
                  <wp:posOffset>199390</wp:posOffset>
                </wp:positionV>
                <wp:extent cx="1790700" cy="609600"/>
                <wp:effectExtent l="0" t="0" r="19050" b="19050"/>
                <wp:wrapNone/>
                <wp:docPr id="20" name="20 Rectángulo"/>
                <wp:cNvGraphicFramePr/>
                <a:graphic xmlns:a="http://schemas.openxmlformats.org/drawingml/2006/main">
                  <a:graphicData uri="http://schemas.microsoft.com/office/word/2010/wordprocessingShape">
                    <wps:wsp>
                      <wps:cNvSpPr/>
                      <wps:spPr>
                        <a:xfrm>
                          <a:off x="0" y="0"/>
                          <a:ext cx="1790700" cy="6096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A12469C" w14:textId="41621CA7" w:rsidR="00712063" w:rsidRPr="00914651" w:rsidRDefault="00712063" w:rsidP="00BF0F02">
                            <w:pPr>
                              <w:jc w:val="center"/>
                              <w:rPr>
                                <w:lang w:val="es-CO"/>
                                <w14:textOutline w14:w="9525" w14:cap="rnd" w14:cmpd="sng" w14:algn="ctr">
                                  <w14:solidFill>
                                    <w14:srgbClr w14:val="000000"/>
                                  </w14:solidFill>
                                  <w14:prstDash w14:val="solid"/>
                                  <w14:bevel/>
                                </w14:textOutline>
                              </w:rPr>
                            </w:pPr>
                            <w:r>
                              <w:rPr>
                                <w:color w:val="000000" w:themeColor="text1"/>
                                <w:lang w:val="es-CO"/>
                              </w:rPr>
                              <w:t>Deben estar plenamente demostrados en el proceso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0 Rectángulo" o:spid="_x0000_s1037" style="position:absolute;left:0;text-align:left;margin-left:272.9pt;margin-top:15.7pt;width:141pt;height:48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" filled="f" strokecolor="black [3213]" strokeweight="1pt">
                <v:textbox>
                  <w:txbxContent>
                    <w:p w14:paraId="5A12469C" w14:textId="41621CA7" w:rsidR="00712063" w:rsidRPr="00914651" w:rsidRDefault="00712063" w:rsidP="00BF0F02">
                      <w:pPr>
                        <w:jc w:val="center"/>
                        <w:rPr>
                          <w:lang w:val="es-CO"/>
                          <w14:textOutline w14:w="9525" w14:cap="rnd" w14:cmpd="sng" w14:algn="ctr">
                            <w14:solidFill>
                              <w14:srgbClr w14:val="000000"/>
                            </w14:solidFill>
                            <w14:prstDash w14:val="solid"/>
                            <w14:bevel/>
                          </w14:textOutline>
                        </w:rPr>
                      </w:pPr>
                      <w:r>
                        <w:rPr>
                          <w:color w:val="000000" w:themeColor="text1"/>
                          <w:lang w:val="es-CO"/>
                        </w:rPr>
                        <w:t>Deben estar plenamente demostrados en el proceso</w:t>
                      </w:r>
                    </w:p>
                  </w:txbxContent>
                </v:textbox>
              </v:rect>
            </w:pict>
          </mc:Fallback>
        </mc:AlternateContent>
      </w:r>
      <w:r w:rsidR="00BF0F02">
        <w:rPr>
          <w:bCs/>
          <w:iCs/>
          <w:noProof/>
        </w:rPr>
        <mc:AlternateContent>
          <mc:Choice Requires="wps">
            <w:drawing>
              <wp:anchor distT="0" distB="0" distL="114300" distR="114300" simplePos="0" relativeHeight="251667456" behindDoc="0" locked="0" layoutInCell="1" allowOverlap="1" wp14:anchorId="0551D6F9" wp14:editId="15D7A4D3">
                <wp:simplePos x="0" y="0"/>
                <wp:positionH relativeFrom="column">
                  <wp:posOffset>-477520</wp:posOffset>
                </wp:positionH>
                <wp:positionV relativeFrom="paragraph">
                  <wp:posOffset>237490</wp:posOffset>
                </wp:positionV>
                <wp:extent cx="1905000" cy="895350"/>
                <wp:effectExtent l="0" t="0" r="19050" b="19050"/>
                <wp:wrapNone/>
                <wp:docPr id="10" name="10 Rectángulo"/>
                <wp:cNvGraphicFramePr/>
                <a:graphic xmlns:a="http://schemas.openxmlformats.org/drawingml/2006/main">
                  <a:graphicData uri="http://schemas.microsoft.com/office/word/2010/wordprocessingShape">
                    <wps:wsp>
                      <wps:cNvSpPr/>
                      <wps:spPr>
                        <a:xfrm>
                          <a:off x="0" y="0"/>
                          <a:ext cx="1905000" cy="8953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B392E4F" w14:textId="77777777" w:rsidR="00712063" w:rsidRPr="00914651" w:rsidRDefault="00712063" w:rsidP="00912186">
                            <w:pPr>
                              <w:jc w:val="center"/>
                              <w:rPr>
                                <w:lang w:val="es-CO"/>
                                <w14:textOutline w14:w="9525" w14:cap="rnd" w14:cmpd="sng" w14:algn="ctr">
                                  <w14:solidFill>
                                    <w14:srgbClr w14:val="000000"/>
                                  </w14:solidFill>
                                  <w14:prstDash w14:val="solid"/>
                                  <w14:bevel/>
                                </w14:textOutline>
                              </w:rPr>
                            </w:pPr>
                            <w:r>
                              <w:rPr>
                                <w:color w:val="000000" w:themeColor="text1"/>
                                <w:lang w:val="es-CO"/>
                              </w:rPr>
                              <w:t>No se puede hablar de un traslado libre si el afiliado no es debidamente informado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10 Rectángulo" o:spid="_x0000_s1038" style="position:absolute;left:0;text-align:left;margin-left:-37.6pt;margin-top:18.7pt;width:150pt;height:70.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" filled="f" strokecolor="black [3213]" strokeweight="1pt">
                <v:textbox>
                  <w:txbxContent>
                    <w:p w14:paraId="2B392E4F" w14:textId="77777777" w:rsidR="00712063" w:rsidRPr="00914651" w:rsidRDefault="00712063" w:rsidP="00912186">
                      <w:pPr>
                        <w:jc w:val="center"/>
                        <w:rPr>
                          <w:lang w:val="es-CO"/>
                          <w14:textOutline w14:w="9525" w14:cap="rnd" w14:cmpd="sng" w14:algn="ctr">
                            <w14:solidFill>
                              <w14:srgbClr w14:val="000000"/>
                            </w14:solidFill>
                            <w14:prstDash w14:val="solid"/>
                            <w14:bevel/>
                          </w14:textOutline>
                        </w:rPr>
                      </w:pPr>
                      <w:r>
                        <w:rPr>
                          <w:color w:val="000000" w:themeColor="text1"/>
                          <w:lang w:val="es-CO"/>
                        </w:rPr>
                        <w:t>No se puede hablar de un traslado libre si el afiliado no es debidamente informado</w:t>
                      </w:r>
                    </w:p>
                  </w:txbxContent>
                </v:textbox>
              </v:rect>
            </w:pict>
          </mc:Fallback>
        </mc:AlternateContent>
      </w:r>
    </w:p>
    <w:p w14:paraId="258FF180" w14:textId="1FA0C09A" w:rsidR="00912186" w:rsidRDefault="00F644FB" w:rsidP="00912186">
      <w:pPr>
        <w:spacing w:line="480" w:lineRule="auto"/>
        <w:ind w:firstLine="709"/>
        <w:rPr>
          <w:bCs/>
          <w:iCs/>
        </w:rPr>
      </w:pPr>
      <w:r>
        <w:rPr>
          <w:bCs/>
          <w:iCs/>
          <w:noProof/>
        </w:rPr>
        <mc:AlternateContent>
          <mc:Choice Requires="wps">
            <w:drawing>
              <wp:anchor distT="0" distB="0" distL="114300" distR="114300" simplePos="0" relativeHeight="251736064" behindDoc="0" locked="0" layoutInCell="1" allowOverlap="1" wp14:anchorId="1D33A7FC" wp14:editId="1C85A413">
                <wp:simplePos x="0" y="0"/>
                <wp:positionH relativeFrom="column">
                  <wp:posOffset>2084705</wp:posOffset>
                </wp:positionH>
                <wp:positionV relativeFrom="paragraph">
                  <wp:posOffset>1270</wp:posOffset>
                </wp:positionV>
                <wp:extent cx="971550" cy="361950"/>
                <wp:effectExtent l="0" t="0" r="19050" b="19050"/>
                <wp:wrapNone/>
                <wp:docPr id="49" name="49 Rectángulo"/>
                <wp:cNvGraphicFramePr/>
                <a:graphic xmlns:a="http://schemas.openxmlformats.org/drawingml/2006/main">
                  <a:graphicData uri="http://schemas.microsoft.com/office/word/2010/wordprocessingShape">
                    <wps:wsp>
                      <wps:cNvSpPr/>
                      <wps:spPr>
                        <a:xfrm>
                          <a:off x="0" y="0"/>
                          <a:ext cx="971550" cy="3619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58E577D" w14:textId="65A8C76D" w:rsidR="00712063" w:rsidRPr="00F644FB" w:rsidRDefault="00712063" w:rsidP="00F644FB">
                            <w:pPr>
                              <w:spacing w:line="480" w:lineRule="auto"/>
                              <w:jc w:val="center"/>
                              <w:rPr>
                                <w:b/>
                                <w:color w:val="000000" w:themeColor="text1"/>
                                <w:lang w:val="es-ES"/>
                              </w:rPr>
                            </w:pPr>
                            <w:r w:rsidRPr="00F644FB">
                              <w:rPr>
                                <w:b/>
                                <w:color w:val="000000" w:themeColor="text1"/>
                              </w:rPr>
                              <w:t>D</w:t>
                            </w:r>
                            <w:r w:rsidRPr="00F644FB">
                              <w:rPr>
                                <w:b/>
                                <w:color w:val="000000" w:themeColor="text1"/>
                                <w:lang w:val="es-ES"/>
                              </w:rPr>
                              <w:t>año moral</w:t>
                            </w:r>
                          </w:p>
                          <w:p w14:paraId="30BF2E74" w14:textId="77777777" w:rsidR="00712063" w:rsidRPr="006A7F6C" w:rsidRDefault="00712063" w:rsidP="00F644FB">
                            <w:pPr>
                              <w:jc w:val="center"/>
                              <w:rPr>
                                <w:lang w:val="es-ES"/>
                                <w14:textOutline w14:w="9525" w14:cap="rnd" w14:cmpd="sng" w14:algn="ctr">
                                  <w14:solidFill>
                                    <w14:srgbClr w14:val="000000"/>
                                  </w14:solidFill>
                                  <w14:prstDash w14:val="solid"/>
                                  <w14:bevel/>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49 Rectángulo" o:spid="_x0000_s1039" style="position:absolute;left:0;text-align:left;margin-left:164.15pt;margin-top:.1pt;width:76.5pt;height:28.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" filled="f" strokecolor="black [3213]" strokeweight="1pt">
                <v:textbox>
                  <w:txbxContent>
                    <w:p w14:paraId="358E577D" w14:textId="65A8C76D" w:rsidR="00712063" w:rsidRPr="00F644FB" w:rsidRDefault="00712063" w:rsidP="00F644FB">
                      <w:pPr>
                        <w:spacing w:line="480" w:lineRule="auto"/>
                        <w:jc w:val="center"/>
                        <w:rPr>
                          <w:b/>
                          <w:color w:val="000000" w:themeColor="text1"/>
                          <w:lang w:val="es-ES"/>
                        </w:rPr>
                      </w:pPr>
                      <w:r w:rsidRPr="00F644FB">
                        <w:rPr>
                          <w:b/>
                          <w:color w:val="000000" w:themeColor="text1"/>
                        </w:rPr>
                        <w:t>D</w:t>
                      </w:r>
                      <w:r w:rsidRPr="00F644FB">
                        <w:rPr>
                          <w:b/>
                          <w:color w:val="000000" w:themeColor="text1"/>
                          <w:lang w:val="es-ES"/>
                        </w:rPr>
                        <w:t>año moral</w:t>
                      </w:r>
                    </w:p>
                    <w:p w14:paraId="30BF2E74" w14:textId="77777777" w:rsidR="00712063" w:rsidRPr="006A7F6C" w:rsidRDefault="00712063" w:rsidP="00F644FB">
                      <w:pPr>
                        <w:jc w:val="center"/>
                        <w:rPr>
                          <w:lang w:val="es-ES"/>
                          <w14:textOutline w14:w="9525" w14:cap="rnd" w14:cmpd="sng" w14:algn="ctr">
                            <w14:solidFill>
                              <w14:srgbClr w14:val="000000"/>
                            </w14:solidFill>
                            <w14:prstDash w14:val="solid"/>
                            <w14:bevel/>
                          </w14:textOutline>
                        </w:rPr>
                      </w:pPr>
                    </w:p>
                  </w:txbxContent>
                </v:textbox>
              </v:rect>
            </w:pict>
          </mc:Fallback>
        </mc:AlternateContent>
      </w:r>
    </w:p>
    <w:p w14:paraId="1E307832" w14:textId="33C5FDF1" w:rsidR="00912186" w:rsidRDefault="00F644FB" w:rsidP="00912186">
      <w:pPr>
        <w:spacing w:line="480" w:lineRule="auto"/>
        <w:ind w:firstLine="709"/>
        <w:rPr>
          <w:bCs/>
          <w:iCs/>
        </w:rPr>
      </w:pPr>
      <w:r>
        <w:rPr>
          <w:bCs/>
          <w:iCs/>
          <w:noProof/>
        </w:rPr>
        <mc:AlternateContent>
          <mc:Choice Requires="wps">
            <w:drawing>
              <wp:anchor distT="0" distB="0" distL="114300" distR="114300" simplePos="0" relativeHeight="251734016" behindDoc="0" locked="0" layoutInCell="1" allowOverlap="1" wp14:anchorId="6A5E9AE4" wp14:editId="254F50FA">
                <wp:simplePos x="0" y="0"/>
                <wp:positionH relativeFrom="column">
                  <wp:posOffset>3056255</wp:posOffset>
                </wp:positionH>
                <wp:positionV relativeFrom="paragraph">
                  <wp:posOffset>12700</wp:posOffset>
                </wp:positionV>
                <wp:extent cx="323850" cy="438150"/>
                <wp:effectExtent l="0" t="0" r="19050" b="19050"/>
                <wp:wrapNone/>
                <wp:docPr id="42" name="42 Conector recto"/>
                <wp:cNvGraphicFramePr/>
                <a:graphic xmlns:a="http://schemas.openxmlformats.org/drawingml/2006/main">
                  <a:graphicData uri="http://schemas.microsoft.com/office/word/2010/wordprocessingShape">
                    <wps:wsp>
                      <wps:cNvCnPr/>
                      <wps:spPr>
                        <a:xfrm flipH="1" flipV="1">
                          <a:off x="0" y="0"/>
                          <a:ext cx="323850" cy="4381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CC81022" id="42 Conector recto" o:spid="_x0000_s1026" style="position:absolute;flip:x y;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0.65pt,1pt" to="266.15pt,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" strokecolor="black [3200]" strokeweight=".5pt">
                <v:stroke joinstyle="miter"/>
              </v:line>
            </w:pict>
          </mc:Fallback>
        </mc:AlternateContent>
      </w:r>
      <w:r w:rsidR="006A7F6C">
        <w:rPr>
          <w:bCs/>
          <w:iCs/>
          <w:noProof/>
        </w:rPr>
        <mc:AlternateContent>
          <mc:Choice Requires="wps">
            <w:drawing>
              <wp:anchor distT="0" distB="0" distL="114300" distR="114300" simplePos="0" relativeHeight="251727872" behindDoc="0" locked="0" layoutInCell="1" allowOverlap="1" wp14:anchorId="04B62423" wp14:editId="77F3C3AE">
                <wp:simplePos x="0" y="0"/>
                <wp:positionH relativeFrom="column">
                  <wp:posOffset>4351655</wp:posOffset>
                </wp:positionH>
                <wp:positionV relativeFrom="paragraph">
                  <wp:posOffset>108585</wp:posOffset>
                </wp:positionV>
                <wp:extent cx="0" cy="342900"/>
                <wp:effectExtent l="0" t="0" r="19050" b="19050"/>
                <wp:wrapNone/>
                <wp:docPr id="2" name="2 Conector recto"/>
                <wp:cNvGraphicFramePr/>
                <a:graphic xmlns:a="http://schemas.openxmlformats.org/drawingml/2006/main">
                  <a:graphicData uri="http://schemas.microsoft.com/office/word/2010/wordprocessingShape">
                    <wps:wsp>
                      <wps:cNvCnPr/>
                      <wps:spPr>
                        <a:xfrm flipV="1">
                          <a:off x="0" y="0"/>
                          <a:ext cx="0" cy="3429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3C27958" id="2 Conector recto" o:spid="_x0000_s1026" style="position:absolute;flip:y;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2.65pt,8.55pt" to="342.65pt,3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" strokecolor="black [3200]" strokeweight=".5pt">
                <v:stroke joinstyle="miter"/>
              </v:line>
            </w:pict>
          </mc:Fallback>
        </mc:AlternateContent>
      </w:r>
    </w:p>
    <w:p w14:paraId="67553574" w14:textId="43039D1F" w:rsidR="00912186" w:rsidRDefault="005C0503" w:rsidP="00AB0F9E">
      <w:pPr>
        <w:spacing w:line="480" w:lineRule="auto"/>
        <w:ind w:left="709"/>
        <w:rPr>
          <w:rFonts w:eastAsia="Times New Roman"/>
        </w:rPr>
      </w:pPr>
      <w:r>
        <w:rPr>
          <w:bCs/>
          <w:iCs/>
          <w:noProof/>
        </w:rPr>
        <mc:AlternateContent>
          <mc:Choice Requires="wps">
            <w:drawing>
              <wp:anchor distT="0" distB="0" distL="114300" distR="114300" simplePos="0" relativeHeight="251742208" behindDoc="0" locked="0" layoutInCell="1" allowOverlap="1" wp14:anchorId="0C9D8117" wp14:editId="46344F87">
                <wp:simplePos x="0" y="0"/>
                <wp:positionH relativeFrom="column">
                  <wp:posOffset>1189355</wp:posOffset>
                </wp:positionH>
                <wp:positionV relativeFrom="paragraph">
                  <wp:posOffset>167005</wp:posOffset>
                </wp:positionV>
                <wp:extent cx="1762125" cy="514350"/>
                <wp:effectExtent l="0" t="0" r="28575" b="19050"/>
                <wp:wrapNone/>
                <wp:docPr id="54" name="54 Rectángulo"/>
                <wp:cNvGraphicFramePr/>
                <a:graphic xmlns:a="http://schemas.openxmlformats.org/drawingml/2006/main">
                  <a:graphicData uri="http://schemas.microsoft.com/office/word/2010/wordprocessingShape">
                    <wps:wsp>
                      <wps:cNvSpPr/>
                      <wps:spPr>
                        <a:xfrm>
                          <a:off x="0" y="0"/>
                          <a:ext cx="1762125" cy="5143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54D2FF2" w14:textId="2B6299F0" w:rsidR="00712063" w:rsidRPr="004611C3" w:rsidRDefault="00712063" w:rsidP="00F644FB">
                            <w:pPr>
                              <w:jc w:val="center"/>
                              <w:rPr>
                                <w:b/>
                                <w:color w:val="000000" w:themeColor="text1"/>
                                <w:lang w:val="es-ES"/>
                                <w14:textOutline w14:w="9525" w14:cap="rnd" w14:cmpd="sng" w14:algn="ctr">
                                  <w14:solidFill>
                                    <w14:srgbClr w14:val="000000"/>
                                  </w14:solidFill>
                                  <w14:prstDash w14:val="solid"/>
                                  <w14:bevel/>
                                </w14:textOutline>
                              </w:rPr>
                            </w:pPr>
                            <w:r w:rsidRPr="004611C3">
                              <w:rPr>
                                <w:b/>
                                <w:color w:val="000000" w:themeColor="text1"/>
                                <w:lang w:val="es-ES"/>
                              </w:rPr>
                              <w:t>Pérdida de calidad de vida y del bienestar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54 Rectángulo" o:spid="_x0000_s1040" style="position:absolute;left:0;text-align:left;margin-left:93.65pt;margin-top:13.15pt;width:138.75pt;height:40.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" filled="f" strokecolor="black [3213]" strokeweight="1pt">
                <v:textbox>
                  <w:txbxContent>
                    <w:p w14:paraId="554D2FF2" w14:textId="2B6299F0" w:rsidR="00712063" w:rsidRPr="004611C3" w:rsidRDefault="00712063" w:rsidP="00F644FB">
                      <w:pPr>
                        <w:jc w:val="center"/>
                        <w:rPr>
                          <w:b/>
                          <w:color w:val="000000" w:themeColor="text1"/>
                          <w:lang w:val="es-ES"/>
                          <w14:textOutline w14:w="9525" w14:cap="rnd" w14:cmpd="sng" w14:algn="ctr">
                            <w14:solidFill>
                              <w14:srgbClr w14:val="000000"/>
                            </w14:solidFill>
                            <w14:prstDash w14:val="solid"/>
                            <w14:bevel/>
                          </w14:textOutline>
                        </w:rPr>
                      </w:pPr>
                      <w:r w:rsidRPr="004611C3">
                        <w:rPr>
                          <w:b/>
                          <w:color w:val="000000" w:themeColor="text1"/>
                          <w:lang w:val="es-ES"/>
                        </w:rPr>
                        <w:t>Pérdida de calidad de vida y del bienestar</w:t>
                      </w:r>
                    </w:p>
                  </w:txbxContent>
                </v:textbox>
              </v:rect>
            </w:pict>
          </mc:Fallback>
        </mc:AlternateContent>
      </w:r>
      <w:r w:rsidR="00F644FB">
        <w:rPr>
          <w:bCs/>
          <w:iCs/>
          <w:noProof/>
        </w:rPr>
        <mc:AlternateContent>
          <mc:Choice Requires="wps">
            <w:drawing>
              <wp:anchor distT="0" distB="0" distL="114300" distR="114300" simplePos="0" relativeHeight="251731968" behindDoc="0" locked="0" layoutInCell="1" allowOverlap="1" wp14:anchorId="24C19BFE" wp14:editId="75C89652">
                <wp:simplePos x="0" y="0"/>
                <wp:positionH relativeFrom="column">
                  <wp:posOffset>3380105</wp:posOffset>
                </wp:positionH>
                <wp:positionV relativeFrom="paragraph">
                  <wp:posOffset>100330</wp:posOffset>
                </wp:positionV>
                <wp:extent cx="1914525" cy="485775"/>
                <wp:effectExtent l="0" t="0" r="28575" b="28575"/>
                <wp:wrapNone/>
                <wp:docPr id="34" name="34 Rectángulo"/>
                <wp:cNvGraphicFramePr/>
                <a:graphic xmlns:a="http://schemas.openxmlformats.org/drawingml/2006/main">
                  <a:graphicData uri="http://schemas.microsoft.com/office/word/2010/wordprocessingShape">
                    <wps:wsp>
                      <wps:cNvSpPr/>
                      <wps:spPr>
                        <a:xfrm>
                          <a:off x="0" y="0"/>
                          <a:ext cx="1914525" cy="4857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52A56C0" w14:textId="00D12C48" w:rsidR="00712063" w:rsidRPr="00B7300B" w:rsidRDefault="00712063" w:rsidP="00F644FB">
                            <w:pPr>
                              <w:jc w:val="center"/>
                              <w:rPr>
                                <w:b/>
                                <w:color w:val="000000" w:themeColor="text1"/>
                                <w:lang w:val="es-CO"/>
                              </w:rPr>
                            </w:pPr>
                            <w:r>
                              <w:rPr>
                                <w:b/>
                                <w:color w:val="000000" w:themeColor="text1"/>
                                <w:lang w:val="es-CO"/>
                              </w:rPr>
                              <w:t>Perjuicios extrapatrimoniales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34 Rectángulo" o:spid="_x0000_s1041" style="position:absolute;left:0;text-align:left;margin-left:266.15pt;margin-top:7.9pt;width:150.75pt;height:38.25pt;z-index:2517319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" filled="f" strokecolor="black [3213]" strokeweight="1pt">
                <v:textbox>
                  <w:txbxContent>
                    <w:p w14:paraId="252A56C0" w14:textId="00D12C48" w:rsidR="00712063" w:rsidRPr="00B7300B" w:rsidRDefault="00712063" w:rsidP="00F644FB">
                      <w:pPr>
                        <w:jc w:val="center"/>
                        <w:rPr>
                          <w:b/>
                          <w:color w:val="000000" w:themeColor="text1"/>
                          <w:lang w:val="es-CO"/>
                        </w:rPr>
                      </w:pPr>
                      <w:r>
                        <w:rPr>
                          <w:b/>
                          <w:color w:val="000000" w:themeColor="text1"/>
                          <w:lang w:val="es-CO"/>
                        </w:rPr>
                        <w:t>Perjuicios extrapatrimoniales</w:t>
                      </w:r>
                    </w:p>
                  </w:txbxContent>
                </v:textbox>
              </v:rect>
            </w:pict>
          </mc:Fallback>
        </mc:AlternateContent>
      </w:r>
    </w:p>
    <w:p w14:paraId="4AF085D2" w14:textId="7685FD8A" w:rsidR="00912186" w:rsidRDefault="004611C3" w:rsidP="00AB0F9E">
      <w:pPr>
        <w:spacing w:line="480" w:lineRule="auto"/>
        <w:ind w:left="709"/>
        <w:rPr>
          <w:rFonts w:eastAsia="Times New Roman"/>
        </w:rPr>
      </w:pPr>
      <w:r>
        <w:rPr>
          <w:bCs/>
          <w:iCs/>
          <w:noProof/>
        </w:rPr>
        <mc:AlternateContent>
          <mc:Choice Requires="wps">
            <w:drawing>
              <wp:anchor distT="0" distB="0" distL="114300" distR="114300" simplePos="0" relativeHeight="251746304" behindDoc="0" locked="0" layoutInCell="1" allowOverlap="1" wp14:anchorId="7C775CCF" wp14:editId="5063E0FF">
                <wp:simplePos x="0" y="0"/>
                <wp:positionH relativeFrom="column">
                  <wp:posOffset>4380230</wp:posOffset>
                </wp:positionH>
                <wp:positionV relativeFrom="paragraph">
                  <wp:posOffset>235585</wp:posOffset>
                </wp:positionV>
                <wp:extent cx="1" cy="352425"/>
                <wp:effectExtent l="0" t="0" r="19050" b="9525"/>
                <wp:wrapNone/>
                <wp:docPr id="56" name="56 Conector recto"/>
                <wp:cNvGraphicFramePr/>
                <a:graphic xmlns:a="http://schemas.openxmlformats.org/drawingml/2006/main">
                  <a:graphicData uri="http://schemas.microsoft.com/office/word/2010/wordprocessingShape">
                    <wps:wsp>
                      <wps:cNvCnPr/>
                      <wps:spPr>
                        <a:xfrm>
                          <a:off x="0" y="0"/>
                          <a:ext cx="1" cy="3524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9CCA76C" id="56 Conector recto" o:spid="_x0000_s1026" style="position:absolute;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4.9pt,18.55pt" to="344.9pt,4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" strokecolor="black [3200]" strokeweight=".5pt">
                <v:stroke joinstyle="miter"/>
              </v:line>
            </w:pict>
          </mc:Fallback>
        </mc:AlternateContent>
      </w:r>
      <w:r>
        <w:rPr>
          <w:bCs/>
          <w:iCs/>
          <w:noProof/>
        </w:rPr>
        <mc:AlternateContent>
          <mc:Choice Requires="wps">
            <w:drawing>
              <wp:anchor distT="0" distB="0" distL="114300" distR="114300" simplePos="0" relativeHeight="251744256" behindDoc="0" locked="0" layoutInCell="1" allowOverlap="1" wp14:anchorId="10074AD1" wp14:editId="2B3BBBDB">
                <wp:simplePos x="0" y="0"/>
                <wp:positionH relativeFrom="column">
                  <wp:posOffset>2951480</wp:posOffset>
                </wp:positionH>
                <wp:positionV relativeFrom="paragraph">
                  <wp:posOffset>35560</wp:posOffset>
                </wp:positionV>
                <wp:extent cx="428625" cy="0"/>
                <wp:effectExtent l="0" t="0" r="9525" b="19050"/>
                <wp:wrapNone/>
                <wp:docPr id="55" name="55 Conector recto"/>
                <wp:cNvGraphicFramePr/>
                <a:graphic xmlns:a="http://schemas.openxmlformats.org/drawingml/2006/main">
                  <a:graphicData uri="http://schemas.microsoft.com/office/word/2010/wordprocessingShape">
                    <wps:wsp>
                      <wps:cNvCnPr/>
                      <wps:spPr>
                        <a:xfrm flipH="1">
                          <a:off x="0" y="0"/>
                          <a:ext cx="4286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C2C4A9A" id="55 Conector recto" o:spid="_x0000_s1026" style="position:absolute;flip:x;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2.4pt,2.8pt" to="266.15pt,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" strokecolor="black [3200]" strokeweight=".5pt">
                <v:stroke joinstyle="miter"/>
              </v:line>
            </w:pict>
          </mc:Fallback>
        </mc:AlternateContent>
      </w:r>
      <w:r w:rsidR="005C0503">
        <w:rPr>
          <w:bCs/>
          <w:iCs/>
          <w:noProof/>
        </w:rPr>
        <mc:AlternateContent>
          <mc:Choice Requires="wps">
            <w:drawing>
              <wp:anchor distT="0" distB="0" distL="114300" distR="114300" simplePos="0" relativeHeight="251738112" behindDoc="0" locked="0" layoutInCell="1" allowOverlap="1" wp14:anchorId="0B75221A" wp14:editId="0D5C97DD">
                <wp:simplePos x="0" y="0"/>
                <wp:positionH relativeFrom="column">
                  <wp:posOffset>3180080</wp:posOffset>
                </wp:positionH>
                <wp:positionV relativeFrom="paragraph">
                  <wp:posOffset>235585</wp:posOffset>
                </wp:positionV>
                <wp:extent cx="200025" cy="257175"/>
                <wp:effectExtent l="0" t="0" r="28575" b="28575"/>
                <wp:wrapNone/>
                <wp:docPr id="50" name="50 Conector recto"/>
                <wp:cNvGraphicFramePr/>
                <a:graphic xmlns:a="http://schemas.openxmlformats.org/drawingml/2006/main">
                  <a:graphicData uri="http://schemas.microsoft.com/office/word/2010/wordprocessingShape">
                    <wps:wsp>
                      <wps:cNvCnPr/>
                      <wps:spPr>
                        <a:xfrm flipH="1">
                          <a:off x="0" y="0"/>
                          <a:ext cx="200025" cy="2571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8C82C60" id="50 Conector recto" o:spid="_x0000_s1026" style="position:absolute;flip:x;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0.4pt,18.55pt" to="266.15pt,3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" strokecolor="black [3200]" strokeweight=".5pt">
                <v:stroke joinstyle="miter"/>
              </v:line>
            </w:pict>
          </mc:Fallback>
        </mc:AlternateContent>
      </w:r>
    </w:p>
    <w:p w14:paraId="084AAB99" w14:textId="05A13388" w:rsidR="00912186" w:rsidRDefault="004611C3" w:rsidP="00AB0F9E">
      <w:pPr>
        <w:spacing w:line="480" w:lineRule="auto"/>
        <w:ind w:left="709"/>
        <w:rPr>
          <w:rFonts w:eastAsia="Times New Roman"/>
        </w:rPr>
      </w:pPr>
      <w:r>
        <w:rPr>
          <w:bCs/>
          <w:iCs/>
          <w:noProof/>
        </w:rPr>
        <mc:AlternateContent>
          <mc:Choice Requires="wps">
            <w:drawing>
              <wp:anchor distT="0" distB="0" distL="114300" distR="114300" simplePos="0" relativeHeight="251729920" behindDoc="0" locked="0" layoutInCell="1" allowOverlap="1" wp14:anchorId="156CBC3E" wp14:editId="546223EF">
                <wp:simplePos x="0" y="0"/>
                <wp:positionH relativeFrom="column">
                  <wp:posOffset>3646805</wp:posOffset>
                </wp:positionH>
                <wp:positionV relativeFrom="paragraph">
                  <wp:posOffset>237490</wp:posOffset>
                </wp:positionV>
                <wp:extent cx="1409700" cy="962025"/>
                <wp:effectExtent l="0" t="0" r="19050" b="28575"/>
                <wp:wrapNone/>
                <wp:docPr id="32" name="32 Rectángulo"/>
                <wp:cNvGraphicFramePr/>
                <a:graphic xmlns:a="http://schemas.openxmlformats.org/drawingml/2006/main">
                  <a:graphicData uri="http://schemas.microsoft.com/office/word/2010/wordprocessingShape">
                    <wps:wsp>
                      <wps:cNvSpPr/>
                      <wps:spPr>
                        <a:xfrm>
                          <a:off x="0" y="0"/>
                          <a:ext cx="1409700" cy="96202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A9DBA80" w14:textId="5FDBD2F8" w:rsidR="00712063" w:rsidRPr="00764635" w:rsidRDefault="00712063" w:rsidP="004611C3">
                            <w:pPr>
                              <w:spacing w:line="276" w:lineRule="auto"/>
                              <w:jc w:val="center"/>
                              <w:rPr>
                                <w:lang w:val="es-ES"/>
                              </w:rPr>
                            </w:pPr>
                            <w:r w:rsidRPr="00F644FB">
                              <w:rPr>
                                <w:b/>
                                <w:color w:val="000000" w:themeColor="text1"/>
                                <w:lang w:val="es-ES"/>
                              </w:rPr>
                              <w:t xml:space="preserve">Afectación </w:t>
                            </w:r>
                            <w:r>
                              <w:rPr>
                                <w:b/>
                                <w:color w:val="000000" w:themeColor="text1"/>
                                <w:lang w:val="es-ES"/>
                              </w:rPr>
                              <w:t xml:space="preserve">a los </w:t>
                            </w:r>
                            <w:r w:rsidRPr="00F644FB">
                              <w:rPr>
                                <w:b/>
                                <w:color w:val="000000" w:themeColor="text1"/>
                                <w:lang w:val="es-ES"/>
                              </w:rPr>
                              <w:t xml:space="preserve">derechos constitucionalmente amparados </w:t>
                            </w:r>
                            <w:r w:rsidRPr="00F644FB">
                              <w:rPr>
                                <w:b/>
                                <w:lang w:val="es-ES"/>
                              </w:rPr>
                              <w:t>estético</w:t>
                            </w:r>
                            <w:r w:rsidRPr="00764635">
                              <w:rPr>
                                <w:lang w:val="es-ES"/>
                              </w:rPr>
                              <w:t>, psíquico y la pérdida de la oportunidad marital; y 4) otros como la afectación o vulneración a otros bienes o derechos convencionales y constitucionalmente amparados</w:t>
                            </w:r>
                            <w:r>
                              <w:rPr>
                                <w:lang w:val="es-ES"/>
                              </w:rPr>
                              <w:t>.</w:t>
                            </w:r>
                          </w:p>
                          <w:p w14:paraId="53A237C0" w14:textId="69645F02" w:rsidR="00712063" w:rsidRPr="006A7F6C" w:rsidRDefault="00712063" w:rsidP="006A7F6C">
                            <w:pPr>
                              <w:jc w:val="center"/>
                              <w:rPr>
                                <w:lang w:val="es-ES"/>
                                <w14:textOutline w14:w="9525" w14:cap="rnd" w14:cmpd="sng" w14:algn="ctr">
                                  <w14:solidFill>
                                    <w14:srgbClr w14:val="000000"/>
                                  </w14:solidFill>
                                  <w14:prstDash w14:val="solid"/>
                                  <w14:bevel/>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2 Rectángulo" o:spid="_x0000_s1042" style="position:absolute;left:0;text-align:left;margin-left:287.15pt;margin-top:18.7pt;width:111pt;height:75.7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" filled="f" strokecolor="black [3213]" strokeweight="1pt">
                <v:textbox>
                  <w:txbxContent>
                    <w:p w14:paraId="4A9DBA80" w14:textId="5FDBD2F8" w:rsidR="00712063" w:rsidRPr="00764635" w:rsidRDefault="00712063" w:rsidP="004611C3">
                      <w:pPr>
                        <w:spacing w:line="276" w:lineRule="auto"/>
                        <w:jc w:val="center"/>
                        <w:rPr>
                          <w:lang w:val="es-ES"/>
                        </w:rPr>
                      </w:pPr>
                      <w:r w:rsidRPr="00F644FB">
                        <w:rPr>
                          <w:b/>
                          <w:color w:val="000000" w:themeColor="text1"/>
                          <w:lang w:val="es-ES"/>
                        </w:rPr>
                        <w:t xml:space="preserve">Afectación </w:t>
                      </w:r>
                      <w:r>
                        <w:rPr>
                          <w:b/>
                          <w:color w:val="000000" w:themeColor="text1"/>
                          <w:lang w:val="es-ES"/>
                        </w:rPr>
                        <w:t xml:space="preserve">a los </w:t>
                      </w:r>
                      <w:r w:rsidRPr="00F644FB">
                        <w:rPr>
                          <w:b/>
                          <w:color w:val="000000" w:themeColor="text1"/>
                          <w:lang w:val="es-ES"/>
                        </w:rPr>
                        <w:t xml:space="preserve">derechos constitucionalmente amparados </w:t>
                      </w:r>
                      <w:r w:rsidRPr="00F644FB">
                        <w:rPr>
                          <w:b/>
                          <w:lang w:val="es-ES"/>
                        </w:rPr>
                        <w:t>estético</w:t>
                      </w:r>
                      <w:r w:rsidRPr="00764635">
                        <w:rPr>
                          <w:lang w:val="es-ES"/>
                        </w:rPr>
                        <w:t>, psíquico y la pérdida de la oportunidad marital; y 4) otros como la afectación o vulneración a otros bienes o derechos convencionales y constitucionalmente amparados</w:t>
                      </w:r>
                      <w:r>
                        <w:rPr>
                          <w:lang w:val="es-ES"/>
                        </w:rPr>
                        <w:t>.</w:t>
                      </w:r>
                    </w:p>
                    <w:p w14:paraId="53A237C0" w14:textId="69645F02" w:rsidR="00712063" w:rsidRPr="006A7F6C" w:rsidRDefault="00712063" w:rsidP="006A7F6C">
                      <w:pPr>
                        <w:jc w:val="center"/>
                        <w:rPr>
                          <w:lang w:val="es-ES"/>
                          <w14:textOutline w14:w="9525" w14:cap="rnd" w14:cmpd="sng" w14:algn="ctr">
                            <w14:solidFill>
                              <w14:srgbClr w14:val="000000"/>
                            </w14:solidFill>
                            <w14:prstDash w14:val="solid"/>
                            <w14:bevel/>
                          </w14:textOutline>
                        </w:rPr>
                      </w:pPr>
                    </w:p>
                  </w:txbxContent>
                </v:textbox>
              </v:rect>
            </w:pict>
          </mc:Fallback>
        </mc:AlternateContent>
      </w:r>
      <w:r w:rsidR="005C0503">
        <w:rPr>
          <w:bCs/>
          <w:iCs/>
          <w:noProof/>
        </w:rPr>
        <mc:AlternateContent>
          <mc:Choice Requires="wps">
            <w:drawing>
              <wp:anchor distT="0" distB="0" distL="114300" distR="114300" simplePos="0" relativeHeight="251740160" behindDoc="0" locked="0" layoutInCell="1" allowOverlap="1" wp14:anchorId="210ED787" wp14:editId="1442990A">
                <wp:simplePos x="0" y="0"/>
                <wp:positionH relativeFrom="column">
                  <wp:posOffset>2018030</wp:posOffset>
                </wp:positionH>
                <wp:positionV relativeFrom="paragraph">
                  <wp:posOffset>142240</wp:posOffset>
                </wp:positionV>
                <wp:extent cx="1200150" cy="781050"/>
                <wp:effectExtent l="0" t="0" r="19050" b="19050"/>
                <wp:wrapNone/>
                <wp:docPr id="52" name="52 Rectángulo"/>
                <wp:cNvGraphicFramePr/>
                <a:graphic xmlns:a="http://schemas.openxmlformats.org/drawingml/2006/main">
                  <a:graphicData uri="http://schemas.microsoft.com/office/word/2010/wordprocessingShape">
                    <wps:wsp>
                      <wps:cNvSpPr/>
                      <wps:spPr>
                        <a:xfrm>
                          <a:off x="0" y="0"/>
                          <a:ext cx="1200150" cy="7810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7B7527B" w14:textId="0CA7DABF" w:rsidR="00712063" w:rsidRPr="00F644FB" w:rsidRDefault="00712063" w:rsidP="00F644FB">
                            <w:pPr>
                              <w:jc w:val="center"/>
                              <w:rPr>
                                <w:b/>
                                <w:color w:val="000000" w:themeColor="text1"/>
                                <w:lang w:val="es-ES"/>
                                <w14:textOutline w14:w="9525" w14:cap="rnd" w14:cmpd="sng" w14:algn="ctr">
                                  <w14:solidFill>
                                    <w14:srgbClr w14:val="000000"/>
                                  </w14:solidFill>
                                  <w14:prstDash w14:val="solid"/>
                                  <w14:bevel/>
                                </w14:textOutline>
                              </w:rPr>
                            </w:pPr>
                            <w:r w:rsidRPr="00F644FB">
                              <w:rPr>
                                <w:b/>
                                <w:color w:val="000000" w:themeColor="text1"/>
                                <w:lang w:val="es-ES"/>
                              </w:rPr>
                              <w:t>Daño a la vida en relación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52 Rectángulo" o:spid="_x0000_s1043" style="position:absolute;left:0;text-align:left;margin-left:158.9pt;margin-top:11.2pt;width:94.5pt;height:61.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" filled="f" strokecolor="black [3213]" strokeweight="1pt">
                <v:textbox>
                  <w:txbxContent>
                    <w:p w14:paraId="67B7527B" w14:textId="0CA7DABF" w:rsidR="00712063" w:rsidRPr="00F644FB" w:rsidRDefault="00712063" w:rsidP="00F644FB">
                      <w:pPr>
                        <w:jc w:val="center"/>
                        <w:rPr>
                          <w:b/>
                          <w:color w:val="000000" w:themeColor="text1"/>
                          <w:lang w:val="es-ES"/>
                          <w14:textOutline w14:w="9525" w14:cap="rnd" w14:cmpd="sng" w14:algn="ctr">
                            <w14:solidFill>
                              <w14:srgbClr w14:val="000000"/>
                            </w14:solidFill>
                            <w14:prstDash w14:val="solid"/>
                            <w14:bevel/>
                          </w14:textOutline>
                        </w:rPr>
                      </w:pPr>
                      <w:r w:rsidRPr="00F644FB">
                        <w:rPr>
                          <w:b/>
                          <w:color w:val="000000" w:themeColor="text1"/>
                          <w:lang w:val="es-ES"/>
                        </w:rPr>
                        <w:t>Daño a la vida en relación</w:t>
                      </w:r>
                    </w:p>
                  </w:txbxContent>
                </v:textbox>
              </v:rect>
            </w:pict>
          </mc:Fallback>
        </mc:AlternateContent>
      </w:r>
    </w:p>
    <w:p w14:paraId="7F269840" w14:textId="30786CC1" w:rsidR="00FB2509" w:rsidRDefault="00FB2509" w:rsidP="00AB0F9E">
      <w:pPr>
        <w:spacing w:line="480" w:lineRule="auto"/>
        <w:ind w:left="709"/>
        <w:rPr>
          <w:rFonts w:eastAsia="Times New Roman"/>
        </w:rPr>
      </w:pPr>
    </w:p>
    <w:p w14:paraId="1C666C87" w14:textId="67477B1B" w:rsidR="006A7F6C" w:rsidRDefault="006A7F6C" w:rsidP="00AB0F9E">
      <w:pPr>
        <w:spacing w:line="480" w:lineRule="auto"/>
        <w:ind w:left="709"/>
        <w:rPr>
          <w:rFonts w:eastAsia="Times New Roman"/>
        </w:rPr>
      </w:pPr>
    </w:p>
    <w:p w14:paraId="06ABC621" w14:textId="16F1046E" w:rsidR="00FB2509" w:rsidRDefault="005C0503" w:rsidP="00AB0F9E">
      <w:pPr>
        <w:spacing w:line="480" w:lineRule="auto"/>
        <w:ind w:left="709"/>
        <w:rPr>
          <w:rFonts w:eastAsia="Times New Roman"/>
        </w:rPr>
      </w:pPr>
      <w:r>
        <w:rPr>
          <w:bCs/>
          <w:iCs/>
          <w:noProof/>
        </w:rPr>
        <mc:AlternateContent>
          <mc:Choice Requires="wps">
            <w:drawing>
              <wp:anchor distT="0" distB="0" distL="114300" distR="114300" simplePos="0" relativeHeight="251683840" behindDoc="0" locked="0" layoutInCell="1" allowOverlap="1" wp14:anchorId="4160B546" wp14:editId="0B5B3C10">
                <wp:simplePos x="0" y="0"/>
                <wp:positionH relativeFrom="column">
                  <wp:posOffset>-667385</wp:posOffset>
                </wp:positionH>
                <wp:positionV relativeFrom="paragraph">
                  <wp:posOffset>39370</wp:posOffset>
                </wp:positionV>
                <wp:extent cx="2800350" cy="447675"/>
                <wp:effectExtent l="0" t="0" r="19050" b="28575"/>
                <wp:wrapNone/>
                <wp:docPr id="21" name="21 Rectángulo"/>
                <wp:cNvGraphicFramePr/>
                <a:graphic xmlns:a="http://schemas.openxmlformats.org/drawingml/2006/main">
                  <a:graphicData uri="http://schemas.microsoft.com/office/word/2010/wordprocessingShape">
                    <wps:wsp>
                      <wps:cNvSpPr/>
                      <wps:spPr>
                        <a:xfrm>
                          <a:off x="0" y="0"/>
                          <a:ext cx="2800350" cy="447675"/>
                        </a:xfrm>
                        <a:prstGeom prst="rect">
                          <a:avLst/>
                        </a:prstGeom>
                        <a:no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2343B6E" w14:textId="480F5D3E" w:rsidR="00712063" w:rsidRPr="00BF0F02" w:rsidRDefault="00712063" w:rsidP="00BF0F02">
                            <w:pPr>
                              <w:rPr>
                                <w:i/>
                                <w:sz w:val="20"/>
                                <w:lang w:val="es-CO"/>
                                <w14:textOutline w14:w="9525" w14:cap="rnd" w14:cmpd="sng" w14:algn="ctr">
                                  <w14:solidFill>
                                    <w14:srgbClr w14:val="000000"/>
                                  </w14:solidFill>
                                  <w14:prstDash w14:val="solid"/>
                                  <w14:bevel/>
                                </w14:textOutline>
                              </w:rPr>
                            </w:pPr>
                            <w:r>
                              <w:rPr>
                                <w:i/>
                                <w:color w:val="000000" w:themeColor="text1"/>
                                <w:sz w:val="20"/>
                                <w:lang w:val="es-CO"/>
                              </w:rPr>
                              <w:t>Figura 1. Sínt</w:t>
                            </w:r>
                            <w:bookmarkStart w:id="15" w:name="Figura1"/>
                            <w:bookmarkEnd w:id="15"/>
                            <w:r>
                              <w:rPr>
                                <w:i/>
                                <w:color w:val="000000" w:themeColor="text1"/>
                                <w:sz w:val="20"/>
                                <w:lang w:val="es-CO"/>
                              </w:rPr>
                              <w:t>esis de la ineficacia del traslado.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1 Rectángulo" o:spid="_x0000_s1044" style="position:absolute;left:0;text-align:left;margin-left:-52.55pt;margin-top:3.1pt;width:220.5pt;height:35.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" filled="f" strokecolor="white [3212]" strokeweight="1pt">
                <v:textbox>
                  <w:txbxContent>
                    <w:p w14:paraId="52343B6E" w14:textId="480F5D3E" w:rsidR="00712063" w:rsidRPr="00BF0F02" w:rsidRDefault="00712063" w:rsidP="00BF0F02">
                      <w:pPr>
                        <w:rPr>
                          <w:i/>
                          <w:sz w:val="20"/>
                          <w:lang w:val="es-CO"/>
                          <w14:textOutline w14:w="9525" w14:cap="rnd" w14:cmpd="sng" w14:algn="ctr">
                            <w14:solidFill>
                              <w14:srgbClr w14:val="000000"/>
                            </w14:solidFill>
                            <w14:prstDash w14:val="solid"/>
                            <w14:bevel/>
                          </w14:textOutline>
                        </w:rPr>
                      </w:pPr>
                      <w:r>
                        <w:rPr>
                          <w:i/>
                          <w:color w:val="000000" w:themeColor="text1"/>
                          <w:sz w:val="20"/>
                          <w:lang w:val="es-CO"/>
                        </w:rPr>
                        <w:t>Figura 1. Sínt</w:t>
                      </w:r>
                      <w:bookmarkStart w:id="16" w:name="Figura1"/>
                      <w:bookmarkEnd w:id="16"/>
                      <w:r>
                        <w:rPr>
                          <w:i/>
                          <w:color w:val="000000" w:themeColor="text1"/>
                          <w:sz w:val="20"/>
                          <w:lang w:val="es-CO"/>
                        </w:rPr>
                        <w:t>esis de la ineficacia del traslado.</w:t>
                      </w:r>
                    </w:p>
                  </w:txbxContent>
                </v:textbox>
              </v:rect>
            </w:pict>
          </mc:Fallback>
        </mc:AlternateContent>
      </w:r>
    </w:p>
    <w:p w14:paraId="06DC86E1" w14:textId="77777777" w:rsidR="00FB2509" w:rsidRDefault="00FB2509" w:rsidP="00AB0F9E">
      <w:pPr>
        <w:spacing w:line="480" w:lineRule="auto"/>
        <w:ind w:left="709"/>
        <w:rPr>
          <w:rFonts w:eastAsia="Times New Roman"/>
        </w:rPr>
      </w:pPr>
    </w:p>
    <w:p w14:paraId="34CF433D" w14:textId="77777777" w:rsidR="001D4A42" w:rsidRDefault="001D4A42" w:rsidP="00800464">
      <w:pPr>
        <w:spacing w:line="480" w:lineRule="auto"/>
        <w:rPr>
          <w:b/>
          <w:lang w:val="es-CO"/>
        </w:rPr>
      </w:pPr>
      <w:bookmarkStart w:id="16" w:name="Responsabilidad"/>
    </w:p>
    <w:p w14:paraId="0E533F6C" w14:textId="77777777" w:rsidR="001D4A42" w:rsidRDefault="001D4A42" w:rsidP="00800464">
      <w:pPr>
        <w:spacing w:line="480" w:lineRule="auto"/>
        <w:rPr>
          <w:b/>
          <w:lang w:val="es-CO"/>
        </w:rPr>
      </w:pPr>
    </w:p>
    <w:p w14:paraId="525ACDC8" w14:textId="73E39DD3" w:rsidR="00865D15" w:rsidRPr="00800464" w:rsidRDefault="005E6BB2" w:rsidP="00800464">
      <w:pPr>
        <w:spacing w:line="480" w:lineRule="auto"/>
        <w:rPr>
          <w:b/>
          <w:lang w:val="es-CO"/>
        </w:rPr>
      </w:pPr>
      <w:r w:rsidRPr="00800464">
        <w:rPr>
          <w:b/>
          <w:lang w:val="es-CO"/>
        </w:rPr>
        <w:lastRenderedPageBreak/>
        <w:t xml:space="preserve">Responsabilidad estatal </w:t>
      </w:r>
    </w:p>
    <w:bookmarkEnd w:id="16"/>
    <w:p w14:paraId="6A17086F" w14:textId="20B1A745" w:rsidR="00865D15" w:rsidRDefault="00090FBE" w:rsidP="008773F8">
      <w:pPr>
        <w:spacing w:line="480" w:lineRule="auto"/>
        <w:ind w:firstLine="709"/>
        <w:rPr>
          <w:lang w:val="es-CO"/>
        </w:rPr>
      </w:pPr>
      <w:r>
        <w:rPr>
          <w:lang w:val="es-CO"/>
        </w:rPr>
        <w:t xml:space="preserve">Frente al tema de la responsabilidad estatal, la Constitución Política señala en su artículo 90  lo siguiente: </w:t>
      </w:r>
    </w:p>
    <w:p w14:paraId="50F8D8F8" w14:textId="447BADE9" w:rsidR="00090FBE" w:rsidRPr="00090FBE" w:rsidRDefault="00090FBE" w:rsidP="00090FBE">
      <w:pPr>
        <w:spacing w:line="480" w:lineRule="auto"/>
        <w:ind w:left="720"/>
      </w:pPr>
      <w:r w:rsidRPr="00090FBE">
        <w:t>ARTICULO 90. El Estado responderá patrimonialmente por los daños antijurídicos que le sean imputables, causados por la acción o la omisión de las autoridades públicas.</w:t>
      </w:r>
    </w:p>
    <w:p w14:paraId="2F10D4B2" w14:textId="57CBAB32" w:rsidR="00090FBE" w:rsidRDefault="00090FBE" w:rsidP="00090FBE">
      <w:pPr>
        <w:spacing w:line="480" w:lineRule="auto"/>
        <w:ind w:left="720"/>
      </w:pPr>
      <w:r w:rsidRPr="00090FBE">
        <w:t>En el evento de ser condenado el Estado a la reparación patrimonial de uno de tales daños, que haya sido consecuencia de la conducta dolosa o gravemente culposa de un agente suyo, aquél deberá repetir contra éste.</w:t>
      </w:r>
    </w:p>
    <w:p w14:paraId="5B51C6DE" w14:textId="6144065E" w:rsidR="00090FBE" w:rsidRDefault="00090FBE" w:rsidP="009E3E3F">
      <w:pPr>
        <w:spacing w:line="480" w:lineRule="auto"/>
        <w:ind w:firstLine="709"/>
        <w:rPr>
          <w:lang w:val="es-CO"/>
        </w:rPr>
      </w:pPr>
      <w:r w:rsidRPr="00090FBE">
        <w:rPr>
          <w:lang w:val="es-CO"/>
        </w:rPr>
        <w:t>La jurisprudencia de la Corte Constitucional ha señalado que “esta responsabilidad se configura “siempre y cuando: i) ocurra un daño antijurídico o lesión, ii) éste sea imputable a la acción u omisión de un ente público”</w:t>
      </w:r>
      <w:r>
        <w:rPr>
          <w:lang w:val="es-CO"/>
        </w:rPr>
        <w:t xml:space="preserve"> (Sentencia C-619 de 2002). En ese mismo sentido</w:t>
      </w:r>
      <w:r w:rsidR="008B3BF3">
        <w:rPr>
          <w:lang w:val="es-CO"/>
        </w:rPr>
        <w:t xml:space="preserve"> se pronunció el Consejo de Estado, en Sentencia</w:t>
      </w:r>
      <w:r w:rsidR="00442387">
        <w:rPr>
          <w:lang w:val="es-CO"/>
        </w:rPr>
        <w:t xml:space="preserve"> </w:t>
      </w:r>
      <w:r w:rsidR="009E3E3F">
        <w:rPr>
          <w:lang w:val="es-CO"/>
        </w:rPr>
        <w:t xml:space="preserve">N° 68001231500019990233001 (34928) </w:t>
      </w:r>
      <w:r w:rsidR="00442387">
        <w:rPr>
          <w:lang w:val="es-CO"/>
        </w:rPr>
        <w:t xml:space="preserve">del </w:t>
      </w:r>
      <w:r w:rsidR="009E3E3F" w:rsidRPr="009E3E3F">
        <w:rPr>
          <w:lang w:val="es-CO"/>
        </w:rPr>
        <w:t>16 de febrero de 2017</w:t>
      </w:r>
      <w:r w:rsidR="008B3BF3">
        <w:rPr>
          <w:lang w:val="es-CO"/>
        </w:rPr>
        <w:t xml:space="preserve">, al señalar que </w:t>
      </w:r>
      <w:r w:rsidR="00442387">
        <w:rPr>
          <w:lang w:val="es-CO"/>
        </w:rPr>
        <w:t>“</w:t>
      </w:r>
      <w:r w:rsidR="00442387" w:rsidRPr="00442387">
        <w:rPr>
          <w:lang w:val="es-CO"/>
        </w:rPr>
        <w:t>la imputación exige analizar dos esferas: a) el ámbito fáctico, y; b) la</w:t>
      </w:r>
      <w:r w:rsidR="00442387">
        <w:rPr>
          <w:lang w:val="es-CO"/>
        </w:rPr>
        <w:t xml:space="preserve"> </w:t>
      </w:r>
      <w:r w:rsidR="00442387" w:rsidRPr="00442387">
        <w:rPr>
          <w:lang w:val="es-CO"/>
        </w:rPr>
        <w:t>imputación jurídica</w:t>
      </w:r>
      <w:r w:rsidR="00442387">
        <w:rPr>
          <w:lang w:val="es-CO"/>
        </w:rPr>
        <w:t>”</w:t>
      </w:r>
      <w:r w:rsidR="009E3E3F">
        <w:rPr>
          <w:lang w:val="es-CO"/>
        </w:rPr>
        <w:t>, esta última corresponde con los denominados títulos de imputación, que de conformidad con la providencia en comento, son: “</w:t>
      </w:r>
      <w:r w:rsidR="009E3E3F" w:rsidRPr="009E3E3F">
        <w:rPr>
          <w:lang w:val="es-CO"/>
        </w:rPr>
        <w:t>falla o falta en la prestación del servicio –simple, presunta y</w:t>
      </w:r>
      <w:r w:rsidR="009E3E3F">
        <w:rPr>
          <w:lang w:val="es-CO"/>
        </w:rPr>
        <w:t xml:space="preserve"> </w:t>
      </w:r>
      <w:r w:rsidR="009E3E3F" w:rsidRPr="009E3E3F">
        <w:rPr>
          <w:lang w:val="es-CO"/>
        </w:rPr>
        <w:t>probada-; daño especial –desequilibrio de las cargas públicas, daño anormal-; riesgo</w:t>
      </w:r>
      <w:r w:rsidR="009E3E3F">
        <w:rPr>
          <w:lang w:val="es-CO"/>
        </w:rPr>
        <w:t xml:space="preserve"> </w:t>
      </w:r>
      <w:r w:rsidR="009E3E3F" w:rsidRPr="009E3E3F">
        <w:rPr>
          <w:lang w:val="es-CO"/>
        </w:rPr>
        <w:t>excepcional</w:t>
      </w:r>
      <w:r w:rsidR="009E3E3F">
        <w:rPr>
          <w:lang w:val="es-CO"/>
        </w:rPr>
        <w:t>”.</w:t>
      </w:r>
    </w:p>
    <w:p w14:paraId="60566B1B" w14:textId="6F628701" w:rsidR="00B44AD1" w:rsidRDefault="00B44AD1" w:rsidP="009E3E3F">
      <w:pPr>
        <w:spacing w:line="480" w:lineRule="auto"/>
        <w:ind w:firstLine="709"/>
        <w:rPr>
          <w:lang w:val="es-CO"/>
        </w:rPr>
      </w:pPr>
      <w:r>
        <w:rPr>
          <w:lang w:val="es-CO"/>
        </w:rPr>
        <w:t>Especial importancia tiene el título de imputación por falla en el servicio, pues a través de este que podría hablarse de la responsabilidad de los diferentes actores estatales que hacen parte del Sistema de Pensiones. La jurisprudencia del Consejo de Estado señala lo siguiente:</w:t>
      </w:r>
    </w:p>
    <w:p w14:paraId="5351DB86" w14:textId="41D2D90D" w:rsidR="00B44AD1" w:rsidRDefault="00B44AD1" w:rsidP="00B44AD1">
      <w:pPr>
        <w:spacing w:line="480" w:lineRule="auto"/>
        <w:ind w:left="720"/>
      </w:pPr>
      <w:r w:rsidRPr="00037892">
        <w:lastRenderedPageBreak/>
        <w:t>La falla del servicio ha sido en nuestro derecho, y continua siendo, el título jurídico de imputación por excelencia para desencadenar la obligación indemnizatoria del Estado; en efecto, si al Juez Administrativo le compete una labor de control de la acción administrativa del Estado y si la falla del servicio tiene el contenido final del incumplimiento de una obligación a su cargo, no hay duda de que es ella el mecanismo más idóneo para asentar la responsabilidad patrimonial de naturaleza extracontractual. (…)Se le exige al Estado la utilización adecuada de todos los medios de que está provisto, en orden a cumplir el cometido constitucional en el caso concreto; si el daño se produce por su incuria en el empleo de tales medios, surgirá su obligación resarcitoria; por el contrario, si el daño ocurre pese a su diligencia no podrá quedar comprometida su responsabilidad. Ahora bien, la falla del servicio o la falta en la prestación del mismo se configura por retardo, por irregularidad, por ineficiencia, por omisión o por ausencia del mismo. El retardo se da cuando la Administración actúa tardíamente ante la ciudadanía en prestar el servicio; la irregularidad, por su parte, se configura cuando se presta el servicio en forma diferente a como debe hacerse en condiciones normales, contrariando las normas, reglamentos u órdenes que lo regulan y la ineficiencia se da cuando la Administración presta el servicio pero no con diligencia y eficacia, como es su deber legal. Y obviamente se da la omisión o ausencia del mismo cuando la Administración, teniendo el deber legal de prestar el servicio, no actúa, no lo presta y queda desamparada la ciudadanía</w:t>
      </w:r>
      <w:r w:rsidR="00FB22DD">
        <w:t xml:space="preserve"> (Sentencia </w:t>
      </w:r>
      <w:r w:rsidR="00FB22DD" w:rsidRPr="00FB22DD">
        <w:t>25000-23-26-000-1996-03282-01</w:t>
      </w:r>
      <w:r w:rsidR="00FB22DD">
        <w:t xml:space="preserve"> </w:t>
      </w:r>
      <w:r w:rsidR="00FB22DD" w:rsidRPr="00FB22DD">
        <w:t>(20042)</w:t>
      </w:r>
      <w:r w:rsidR="00FB22DD">
        <w:t xml:space="preserve"> del 7 de marzo de 2012)</w:t>
      </w:r>
      <w:r w:rsidRPr="00B44AD1">
        <w:t xml:space="preserve">. </w:t>
      </w:r>
    </w:p>
    <w:p w14:paraId="72352C2B" w14:textId="4FFF9E0C" w:rsidR="00606B23" w:rsidRDefault="00606B23" w:rsidP="005E6BB2">
      <w:pPr>
        <w:spacing w:line="480" w:lineRule="auto"/>
        <w:ind w:firstLine="709"/>
      </w:pPr>
      <w:r>
        <w:rPr>
          <w:b/>
        </w:rPr>
        <w:lastRenderedPageBreak/>
        <w:t>D</w:t>
      </w:r>
      <w:r w:rsidRPr="00606B23">
        <w:rPr>
          <w:b/>
        </w:rPr>
        <w:t>e las Superintendencias</w:t>
      </w:r>
      <w:r w:rsidR="005E6BB2">
        <w:rPr>
          <w:b/>
        </w:rPr>
        <w:t xml:space="preserve">. </w:t>
      </w:r>
      <w:r w:rsidR="005E6BB2">
        <w:t xml:space="preserve">Establece  el artículo 66 de </w:t>
      </w:r>
      <w:r>
        <w:t>la Ley 489 de 1998</w:t>
      </w:r>
      <w:r w:rsidR="005E6BB2">
        <w:t xml:space="preserve"> </w:t>
      </w:r>
      <w:r>
        <w:t xml:space="preserve">que las Superintendencias se entienden como organismos creados por la ley, con autonomía administrativa y financiera que cumple la función de inspección y vigilancia sobre la función en particular que se le asigne. </w:t>
      </w:r>
    </w:p>
    <w:p w14:paraId="674D0124" w14:textId="77777777" w:rsidR="00574814" w:rsidRDefault="00574814" w:rsidP="005E6BB2">
      <w:pPr>
        <w:spacing w:line="480" w:lineRule="auto"/>
        <w:ind w:firstLine="709"/>
      </w:pPr>
    </w:p>
    <w:p w14:paraId="1822222F" w14:textId="77777777" w:rsidR="00DD69DD" w:rsidRDefault="00606B23" w:rsidP="005E6BB2">
      <w:pPr>
        <w:spacing w:line="480" w:lineRule="auto"/>
        <w:ind w:firstLine="709"/>
      </w:pPr>
      <w:r w:rsidRPr="00606B23">
        <w:rPr>
          <w:b/>
        </w:rPr>
        <w:t>Funciones de la</w:t>
      </w:r>
      <w:r>
        <w:t xml:space="preserve"> </w:t>
      </w:r>
      <w:r>
        <w:rPr>
          <w:b/>
        </w:rPr>
        <w:t>Superintendencia Financiera de Colombia</w:t>
      </w:r>
      <w:r w:rsidR="005E6BB2">
        <w:rPr>
          <w:b/>
        </w:rPr>
        <w:t xml:space="preserve">. </w:t>
      </w:r>
      <w:r w:rsidRPr="00606B23">
        <w:t>La Superintendencia</w:t>
      </w:r>
      <w:r>
        <w:t xml:space="preserve"> Financiera de Colombia ejerce</w:t>
      </w:r>
      <w:r w:rsidRPr="00606B23">
        <w:t xml:space="preserve"> las funciones </w:t>
      </w:r>
      <w:r>
        <w:t>contenidas  en el decreto 2739 de 1991, el Decreto 663 de 1993 y la Ley 964 de 2005. Para el caso en concreto hay una función especial de la prot</w:t>
      </w:r>
      <w:r w:rsidR="00DD69DD">
        <w:t>ección al consumidor financiero,</w:t>
      </w:r>
      <w:r>
        <w:t xml:space="preserve"> </w:t>
      </w:r>
      <w:r w:rsidR="00DD69DD">
        <w:t>para ello se</w:t>
      </w:r>
      <w:r>
        <w:t xml:space="preserve"> creó la “Delegatura para la Protección del Consumidor Financiero y la Transparencia”</w:t>
      </w:r>
      <w:r w:rsidR="00DD69DD">
        <w:t>,</w:t>
      </w:r>
      <w:r>
        <w:t xml:space="preserve"> </w:t>
      </w:r>
      <w:r w:rsidR="00DD69DD">
        <w:t>la cual</w:t>
      </w:r>
      <w:r>
        <w:t xml:space="preserve"> se encarga de evaluar las conductas del consumidor, establecer las directrices para la protección de los consumidores y de prevenir el ejercicio ilegal de la actividad financiera. </w:t>
      </w:r>
    </w:p>
    <w:p w14:paraId="7AD5C6F6" w14:textId="70863146" w:rsidR="00606B23" w:rsidRDefault="00FC0926" w:rsidP="005E6BB2">
      <w:pPr>
        <w:spacing w:line="480" w:lineRule="auto"/>
        <w:ind w:firstLine="709"/>
        <w:rPr>
          <w:rFonts w:eastAsia="Times New Roman"/>
        </w:rPr>
      </w:pPr>
      <w:r>
        <w:t>Ahora, sobre la protección especial para la protección del consumidor financiero, tenemos que la Superintendencia es la encarga</w:t>
      </w:r>
      <w:r w:rsidR="005E6BB2">
        <w:t>da</w:t>
      </w:r>
      <w:r>
        <w:t xml:space="preserve"> de:</w:t>
      </w:r>
    </w:p>
    <w:p w14:paraId="36505733" w14:textId="0480CE00" w:rsidR="00FC0926" w:rsidRDefault="00FC0926" w:rsidP="005E6BB2">
      <w:pPr>
        <w:numPr>
          <w:ilvl w:val="0"/>
          <w:numId w:val="18"/>
        </w:numPr>
        <w:spacing w:after="200" w:line="480" w:lineRule="auto"/>
      </w:pPr>
      <w:r w:rsidRPr="00FC0926">
        <w:t>Ejecutar la supervisión respecto del cumplimiento a las normas de protección al consumidor financiero</w:t>
      </w:r>
      <w:r>
        <w:t>.</w:t>
      </w:r>
    </w:p>
    <w:p w14:paraId="265EC67B" w14:textId="172A4400" w:rsidR="00FC0926" w:rsidRDefault="00FC0926" w:rsidP="005E6BB2">
      <w:pPr>
        <w:numPr>
          <w:ilvl w:val="0"/>
          <w:numId w:val="18"/>
        </w:numPr>
        <w:spacing w:after="200" w:line="480" w:lineRule="auto"/>
      </w:pPr>
      <w:r w:rsidRPr="00FC0926">
        <w:t>Ejecutar la supervisión del cumplimiento de las funciones de los defensores del consumidor financiero de las entidades vigiladas.</w:t>
      </w:r>
    </w:p>
    <w:p w14:paraId="6B6F73BD" w14:textId="2ABA7E42" w:rsidR="00FC0926" w:rsidRPr="00FC0926" w:rsidRDefault="00FC0926" w:rsidP="005E6BB2">
      <w:pPr>
        <w:numPr>
          <w:ilvl w:val="0"/>
          <w:numId w:val="18"/>
        </w:numPr>
        <w:spacing w:after="200" w:line="480" w:lineRule="auto"/>
      </w:pPr>
      <w:r w:rsidRPr="00FC0926">
        <w:t>Atender y resolver las reclamaciones y quejas que se presenten respecto de las entidades vigiladas por la Superintendencia.</w:t>
      </w:r>
    </w:p>
    <w:p w14:paraId="0974B43E" w14:textId="2EB7C8C5" w:rsidR="00FC0926" w:rsidRDefault="00FC0926" w:rsidP="005E6BB2">
      <w:pPr>
        <w:numPr>
          <w:ilvl w:val="0"/>
          <w:numId w:val="18"/>
        </w:numPr>
        <w:spacing w:after="200" w:line="480" w:lineRule="auto"/>
      </w:pPr>
      <w:r w:rsidRPr="00FC0926">
        <w:lastRenderedPageBreak/>
        <w:t>Proponer al Superintendente Delegado, la autorización de las campañas publicitarias de las entidades vigiladas por la Superintendencia, cuando ello sea necesario conforme a la normatividad vigente.</w:t>
      </w:r>
    </w:p>
    <w:p w14:paraId="5D335EED" w14:textId="710C578C" w:rsidR="00FC0926" w:rsidRDefault="00FC0926" w:rsidP="005E6BB2">
      <w:pPr>
        <w:numPr>
          <w:ilvl w:val="0"/>
          <w:numId w:val="18"/>
        </w:numPr>
        <w:spacing w:after="200" w:line="480" w:lineRule="auto"/>
      </w:pPr>
      <w:r w:rsidRPr="00FC0926">
        <w:t>Hacer seguimiento a las campañas publicitarias de las entidades supervisadas, con el propósito de tutelar los derechos de los consumidores financieros.</w:t>
      </w:r>
    </w:p>
    <w:p w14:paraId="16CD90FA" w14:textId="51F52454" w:rsidR="00FC0926" w:rsidRDefault="00FC0926" w:rsidP="005E6BB2">
      <w:pPr>
        <w:numPr>
          <w:ilvl w:val="0"/>
          <w:numId w:val="18"/>
        </w:numPr>
        <w:spacing w:after="200" w:line="480" w:lineRule="auto"/>
      </w:pPr>
      <w:r w:rsidRPr="00FC0926">
        <w:t>Proponer, ejecutar y adelantar los programas y políticas de educación, que sean autorizados por el Superintendente, dirigidos a los consumidores financieros.</w:t>
      </w:r>
    </w:p>
    <w:p w14:paraId="671D4037" w14:textId="42EC9BAA" w:rsidR="00DD69DD" w:rsidRDefault="00DD69DD" w:rsidP="005E6BB2">
      <w:pPr>
        <w:spacing w:line="480" w:lineRule="auto"/>
        <w:ind w:firstLine="709"/>
      </w:pPr>
      <w:r>
        <w:t>Por su parte, el artículo 9no de la Ley 1328 de 2009 establece lo siguiente con respecto a la información que debe recibir el consumidor financiero con respecto a los servicios que las entidades vigiladas por la Superintendencia Financiera ofrezcan:</w:t>
      </w:r>
    </w:p>
    <w:p w14:paraId="38CB703C" w14:textId="77777777" w:rsidR="00DD69DD" w:rsidRDefault="00DD69DD" w:rsidP="00DD69DD">
      <w:pPr>
        <w:spacing w:line="480" w:lineRule="auto"/>
        <w:ind w:left="708"/>
      </w:pPr>
      <w:r>
        <w:t xml:space="preserve">ARTÍCULO 9o. CONTENIDO MÍNIMO DE LA INFORMACIÓN AL CONSUMIDOR FINANCIERO. En desarrollo del principio de transparencia e información cierta, suficiente y oportuna, las entidades vigiladas deben informar a los consumidores financieros, como mínimo, las características de los productos o servicios, los derechos y obligaciones, las condiciones, las tarifas o precios y la forma para determinarlos, las medidas para el manejo seguro del producto o servicio, las consecuencias derivadas del incumplimiento del contrato, y la demás información que la entidad vigilada estime conveniente para que el consumidor comprenda el contenido y funcionamiento de la relación establecida para suministrar un producto o servicio. En particular, la información que se suministre previamente a la </w:t>
      </w:r>
      <w:r>
        <w:lastRenderedPageBreak/>
        <w:t>celebración del contrato, deberá permitir y facilitar la adecuada comparación de las distintas opciones ofrecidas en el mercado.</w:t>
      </w:r>
    </w:p>
    <w:p w14:paraId="077DC001" w14:textId="604BD14A" w:rsidR="00DD69DD" w:rsidRPr="00DD69DD" w:rsidRDefault="00DD69DD" w:rsidP="00DD69DD">
      <w:pPr>
        <w:spacing w:line="480" w:lineRule="auto"/>
        <w:ind w:left="708"/>
      </w:pPr>
      <w:r>
        <w:t xml:space="preserve">&lt;Inciso adicionado por el parágrafo 1o. del artículo 2 de la Ley 1748 de 2014. El nuevo texto es el siguiente:&gt; </w:t>
      </w:r>
      <w:r w:rsidRPr="00DD69DD">
        <w:rPr>
          <w:u w:val="single"/>
        </w:rPr>
        <w:t>En desarrollo de lo anterior, las Administradoras del Sistema General de Pensiones deberán garantizar que los clientes que quieran trasladarse entre regímenes pensionales, reciban asesoría de representantes de ambos regímenes, como condición previa para que proceda el traslado entre regímenes. Lo anterior de conformidad con las instrucciones que para el efecto imparta la Superintendencia Financiera de Colombia.</w:t>
      </w:r>
      <w:r>
        <w:rPr>
          <w:u w:val="single"/>
        </w:rPr>
        <w:t xml:space="preserve"> </w:t>
      </w:r>
      <w:r>
        <w:t>(Subrayas fuera del texto original)</w:t>
      </w:r>
    </w:p>
    <w:p w14:paraId="0A1CA646" w14:textId="792B6455" w:rsidR="00DD69DD" w:rsidRDefault="00DD69DD" w:rsidP="00DD69DD">
      <w:pPr>
        <w:spacing w:line="480" w:lineRule="auto"/>
        <w:ind w:left="708"/>
      </w:pPr>
      <w:r>
        <w:t xml:space="preserve">La Superintendencia Financiera de Colombia deberá impartir instrucciones especiales referidas a la información que será suministrada a los consumidores financieros de manera previa a la formalización del contrato, al momento de su celebración y durante la ejecución de este, indicándole a la entidad vigilada los medios y canales que deba utilizar, los cuales deben ser de fácil acceso para los consumidores financieros. </w:t>
      </w:r>
    </w:p>
    <w:p w14:paraId="57A8E8CF" w14:textId="0FCA8B60" w:rsidR="00DD69DD" w:rsidRDefault="00DD69DD" w:rsidP="005E6BB2">
      <w:pPr>
        <w:spacing w:line="480" w:lineRule="auto"/>
        <w:ind w:firstLine="709"/>
      </w:pPr>
      <w:r>
        <w:t xml:space="preserve">En ese sentido, el artículo 21 de la ley en comento establece el régimen sancionatorio por el incumplimiento de las normas previstas en el Título I de dicha norma, dentro de los cuales se encuentra el </w:t>
      </w:r>
      <w:r w:rsidR="00C20A70" w:rsidRPr="00C20A70">
        <w:t>contenido mínimo de la información al consumidor financiero</w:t>
      </w:r>
      <w:r w:rsidR="00C20A70">
        <w:t xml:space="preserve"> consagrado en el citado artículo 9no. Dicho régimen sancionatorio está determinado como a continuación se transcribe:</w:t>
      </w:r>
    </w:p>
    <w:p w14:paraId="41FAFC57" w14:textId="77777777" w:rsidR="00C20A70" w:rsidRDefault="00C20A70" w:rsidP="00C20A70">
      <w:pPr>
        <w:spacing w:line="480" w:lineRule="auto"/>
        <w:ind w:left="708"/>
      </w:pPr>
      <w:r>
        <w:t xml:space="preserve">ARTÍCULO 21. RÉGIMEN SANCIONATORIO. El incumplimiento de las normas previstas en el presente Título, incluidas las obligaciones a cargo del Defensor del Consumidor Financiero y de las entidades vigiladas para con él, </w:t>
      </w:r>
      <w:r>
        <w:lastRenderedPageBreak/>
        <w:t>así como las demás disposiciones vigentes en materia de protección al consumidor financiero será sancionado por la Superintendencia Financiera de Colombia en la forma prevista en la Parte Séptima del Estatuto Orgánico del Sistema Financiero y el artículo 53 de la Ley 964 de 2005 y demás normas que los modifiquen o sustituyan.</w:t>
      </w:r>
    </w:p>
    <w:p w14:paraId="6695D9A4" w14:textId="77777777" w:rsidR="00C20A70" w:rsidRDefault="00C20A70" w:rsidP="00C20A70">
      <w:pPr>
        <w:spacing w:line="480" w:lineRule="auto"/>
        <w:ind w:left="708"/>
      </w:pPr>
      <w:r>
        <w:t xml:space="preserve">PARÁGRAFO. </w:t>
      </w:r>
      <w:proofErr w:type="spellStart"/>
      <w:r>
        <w:t>Adiciónase</w:t>
      </w:r>
      <w:proofErr w:type="spellEnd"/>
      <w:r>
        <w:t xml:space="preserve"> el numeral 2 del artículo 208 del Estatuto Orgánico del Sistema Financiero y el artículo 52 de la Ley 964 de 2005, con el siguiente literal:</w:t>
      </w:r>
    </w:p>
    <w:p w14:paraId="0C9A2001" w14:textId="1AE5075B" w:rsidR="00C20A70" w:rsidRDefault="00C20A70" w:rsidP="00C20A70">
      <w:pPr>
        <w:spacing w:line="480" w:lineRule="auto"/>
        <w:ind w:left="708"/>
      </w:pPr>
      <w:r>
        <w:t>j) La infracción al Régimen de Protección al Consumidor Financiero. Igualmente deberá considerarse si se adoptaron soluciones a favor del consumidor financiero dentro del trámite de quejas o reclamos, así como la implementación de medidas de mejoramiento como consecuencia de las mismas.</w:t>
      </w:r>
    </w:p>
    <w:p w14:paraId="5E139972" w14:textId="09F91A06" w:rsidR="002341C8" w:rsidRDefault="00862641" w:rsidP="005E6BB2">
      <w:pPr>
        <w:spacing w:line="480" w:lineRule="auto"/>
        <w:ind w:firstLine="709"/>
      </w:pPr>
      <w:r>
        <w:t xml:space="preserve">Luego, el artículo 58 de la Ley 964 de 2005 </w:t>
      </w:r>
      <w:r w:rsidR="002341C8">
        <w:t>manifiesta lo siguiente respecto a la procedencia del procedimiento sancionatorio:</w:t>
      </w:r>
    </w:p>
    <w:p w14:paraId="745312EC" w14:textId="44A14163" w:rsidR="002341C8" w:rsidRDefault="002341C8" w:rsidP="002341C8">
      <w:pPr>
        <w:spacing w:line="480" w:lineRule="auto"/>
        <w:ind w:left="708"/>
      </w:pPr>
      <w:r w:rsidRPr="002341C8">
        <w:t>ARTÍCULO 58. PROCEDENCIA. La actuación administrativa para determinar la comisión de infracciones podrá iniciarse de oficio, por queja o por traslado de cualquier autoridad.</w:t>
      </w:r>
    </w:p>
    <w:p w14:paraId="08F91E18" w14:textId="6C206118" w:rsidR="00FE3A9C" w:rsidRDefault="00C20A70" w:rsidP="005E6BB2">
      <w:pPr>
        <w:spacing w:line="480" w:lineRule="auto"/>
        <w:ind w:firstLine="709"/>
      </w:pPr>
      <w:r>
        <w:t>Por otra parte, e</w:t>
      </w:r>
      <w:r w:rsidR="00D35DE0">
        <w:t>s importante poner de presente el Concepto 2008003491-001 del 1 de febrero de 2008</w:t>
      </w:r>
      <w:r w:rsidR="00C342B2">
        <w:t xml:space="preserve"> de la Superintendencia Financiera</w:t>
      </w:r>
      <w:r w:rsidR="00D35DE0">
        <w:t>, en el cual se</w:t>
      </w:r>
      <w:r w:rsidR="00FE3A9C">
        <w:t xml:space="preserve"> consideró lo siguiente:</w:t>
      </w:r>
    </w:p>
    <w:p w14:paraId="0B1140FD" w14:textId="59F0BEA5" w:rsidR="00C342B2" w:rsidRDefault="00C342B2" w:rsidP="00FE3A9C">
      <w:pPr>
        <w:spacing w:line="480" w:lineRule="auto"/>
        <w:ind w:left="709"/>
      </w:pPr>
      <w:bookmarkStart w:id="17" w:name="Responsabilidad_Superfinanciera"/>
      <w:r>
        <w:t xml:space="preserve">En primer término y en cuanto a cuáles son las facultades con que cuenta este Organismo de Control frente a las sociedades administradoras de pensiones, es del caso señalar que la Superintendencia Financiera es un organismo de </w:t>
      </w:r>
      <w:r>
        <w:lastRenderedPageBreak/>
        <w:t>carácter técnico al que corresponde realizar una labor de policía administrativa que busca el mantenimiento del orden público económico, la protección del interés general y la preservación de la confianza pública en el sector financiero, asegurador y previsional, objetivos para los cuales cuenta con funciones de “</w:t>
      </w:r>
      <w:r w:rsidRPr="00C342B2">
        <w:rPr>
          <w:u w:val="single"/>
        </w:rPr>
        <w:t>inspección, vigilancia y control sobre las entidades que realizan actividades financiera, (…), aseguradora y cualquier otra relacionada con el manejo, aprovechamiento o inversión de recursos captados del público</w:t>
      </w:r>
      <w:r>
        <w:t xml:space="preserve">”, en desarrollo de las atribuciones otorgadas al Presidente de la República en el numeral 24 del artículo 189 de la Constitución Política. </w:t>
      </w:r>
    </w:p>
    <w:p w14:paraId="23DB932E" w14:textId="5FCACD6D" w:rsidR="00C342B2" w:rsidRDefault="00C342B2" w:rsidP="00FE3A9C">
      <w:pPr>
        <w:spacing w:line="480" w:lineRule="auto"/>
        <w:ind w:left="709"/>
      </w:pPr>
      <w:r>
        <w:t>Así pues, le corresponde a esta Superintendencia en desarrollo de las citadas funciones ejercer la inspección, vigilancia y control de las entidades administradoras del Sistema General de Pensiones de conformidad con lo señalado en los artículos 13 (literal k), 52 y 60 (literal j) de la Ley 100 de 1993, en concordancia con el artículo 326, numeral 5º literal i) del Estatuto Orgánico del Sistema Financiero (...).</w:t>
      </w:r>
    </w:p>
    <w:p w14:paraId="2F08E21D" w14:textId="13E31E62" w:rsidR="00FE3A9C" w:rsidRDefault="00C342B2" w:rsidP="00FE3A9C">
      <w:pPr>
        <w:spacing w:line="480" w:lineRule="auto"/>
        <w:ind w:left="709"/>
      </w:pPr>
      <w:r>
        <w:t xml:space="preserve">En este orden de ideas, </w:t>
      </w:r>
      <w:r w:rsidR="00FE3A9C">
        <w:t xml:space="preserve"> en el evento de que un afiliado al Sistema General de Pensiones considere que las entidades administradoras del mismo están vulnerando una norma por cuyo cumplimiento deba velar este Organismo de Vigilancia y Control, podrá poner en conocimiento la situación objeto de inconformidad a fin de adelantar la actuación administrativa correspondiente. </w:t>
      </w:r>
    </w:p>
    <w:p w14:paraId="69109FB6" w14:textId="03CEA34D" w:rsidR="009D4A85" w:rsidRDefault="00FE3A9C" w:rsidP="009D4A85">
      <w:pPr>
        <w:spacing w:line="480" w:lineRule="auto"/>
        <w:ind w:left="709"/>
      </w:pPr>
      <w:r>
        <w:t xml:space="preserve">No obstante lo anterior y, en la medida que de conformidad con lo previsto en el artículo 24 de la Ley 795 de 2003, las entidades sujetas a la vigilancia y control de esta Superintendencia deberán contar “con un defensor del cliente, cuya función será la de ser vocero de los clientes o usuarios ante la respectiva </w:t>
      </w:r>
      <w:r>
        <w:lastRenderedPageBreak/>
        <w:t xml:space="preserve">institución, así como conocer y resolver las quejas de estos relativas a la prestación de los servicios”, podrá acudir directamente a dicho funcionario quien deberá dar trámite a las reclamaciones presentadas, en este caso, por los afiliados, originadas en situaciones como las que fueron planteadas en la comunicación que nos ocupa. </w:t>
      </w:r>
    </w:p>
    <w:p w14:paraId="7732957D" w14:textId="77777777" w:rsidR="00B94145" w:rsidRDefault="00B94145" w:rsidP="009D4A85">
      <w:pPr>
        <w:spacing w:line="480" w:lineRule="auto"/>
        <w:ind w:left="709"/>
      </w:pPr>
    </w:p>
    <w:p w14:paraId="6304FE77" w14:textId="5595DB36" w:rsidR="00C95CAD" w:rsidRDefault="005E2343" w:rsidP="00C95CAD">
      <w:pPr>
        <w:spacing w:line="480" w:lineRule="auto"/>
        <w:ind w:firstLine="709"/>
      </w:pPr>
      <w:r>
        <w:rPr>
          <w:b/>
        </w:rPr>
        <w:t>Responsabilidad por parte de la Superintendencia Financiera de Colombia</w:t>
      </w:r>
      <w:r w:rsidR="005E6BB2">
        <w:rPr>
          <w:b/>
        </w:rPr>
        <w:t xml:space="preserve">. </w:t>
      </w:r>
      <w:bookmarkEnd w:id="17"/>
      <w:r w:rsidRPr="005E2343">
        <w:rPr>
          <w:lang w:val="es-CO"/>
        </w:rPr>
        <w:t xml:space="preserve">La responsabilidad de la Superintendencia Financiera de Colombia, como entidad encargada del control y vigilancia de las Administradoras de Fondos de Pensiones, </w:t>
      </w:r>
      <w:r w:rsidRPr="00037892">
        <w:rPr>
          <w:lang w:val="es-CO"/>
        </w:rPr>
        <w:t>puede ser objeto de control por parte de la Jurisdicción Contencioso Administrativa</w:t>
      </w:r>
      <w:r w:rsidR="00037892">
        <w:rPr>
          <w:lang w:val="es-CO"/>
        </w:rPr>
        <w:t xml:space="preserve">. </w:t>
      </w:r>
      <w:r w:rsidR="00C95CAD">
        <w:rPr>
          <w:lang w:val="es-CO"/>
        </w:rPr>
        <w:t xml:space="preserve">Así las cosas, y a la luz del </w:t>
      </w:r>
      <w:r w:rsidR="00C95CAD">
        <w:t xml:space="preserve">Concepto 2008003491-001 del 1 de febrero de 2008, se entendería que hay una falla en el servicio por parte de la Superintendencia Financiera de Colombia cuando </w:t>
      </w:r>
      <w:r w:rsidR="00441901">
        <w:t>el afiliado o consumidor financiero</w:t>
      </w:r>
      <w:r w:rsidR="002341C8">
        <w:t>, directamente o a través del defensor al cliente del que disponga la AFP,</w:t>
      </w:r>
      <w:r w:rsidR="00441901">
        <w:t xml:space="preserve"> pone</w:t>
      </w:r>
      <w:r w:rsidR="00C95CAD">
        <w:t xml:space="preserve"> en conocimiento alguna irregularida</w:t>
      </w:r>
      <w:r w:rsidR="002341C8">
        <w:t xml:space="preserve">d en el trámite de afiliación y/o </w:t>
      </w:r>
      <w:r w:rsidR="00C95CAD">
        <w:t xml:space="preserve">traslado que realiza </w:t>
      </w:r>
      <w:r w:rsidR="002341C8">
        <w:t xml:space="preserve">ante </w:t>
      </w:r>
      <w:r w:rsidR="00C95CAD">
        <w:t xml:space="preserve">una AFP, </w:t>
      </w:r>
      <w:r w:rsidR="002341C8">
        <w:t>por medio de</w:t>
      </w:r>
      <w:r w:rsidR="00C95CAD">
        <w:t xml:space="preserve"> sus promotores, </w:t>
      </w:r>
      <w:r w:rsidR="002341C8">
        <w:t xml:space="preserve">y </w:t>
      </w:r>
      <w:r w:rsidR="00C95CAD">
        <w:t xml:space="preserve">aquella no </w:t>
      </w:r>
      <w:r w:rsidR="002341C8">
        <w:t>ejerce su función sancionatoria para remediar tal irregularidad</w:t>
      </w:r>
      <w:r w:rsidR="00441901">
        <w:t>, en virtud</w:t>
      </w:r>
      <w:r w:rsidR="002341C8">
        <w:t xml:space="preserve"> del artículo 21 de la Ley 1328 de 2009 y el artículo 53 de la Ley 964 de 2005. </w:t>
      </w:r>
    </w:p>
    <w:p w14:paraId="3D6C9CC1" w14:textId="152EE6EE" w:rsidR="006B42EA" w:rsidRDefault="007E0968" w:rsidP="00C95CAD">
      <w:pPr>
        <w:spacing w:line="480" w:lineRule="auto"/>
        <w:ind w:firstLine="709"/>
      </w:pPr>
      <w:r>
        <w:t>Sin embargo, no puede olvidarse del deber constitucional que tiene la Entidad, en virtud del inciso 2° del artículo 2° de la Constitución Política,</w:t>
      </w:r>
      <w:r w:rsidR="00862641">
        <w:t xml:space="preserve"> ni la facultad que tiene para iniciar oficiosamente el proceso sancionatorio, en virtud del artículo 58 de la Ley 964 de 2005, cuando se presente un incumplimiento de las normas previstas en el Título I de la Ley 1328 de 2009, dentro de los cuales se encuentra el </w:t>
      </w:r>
      <w:r w:rsidR="00862641" w:rsidRPr="00C20A70">
        <w:t xml:space="preserve">contenido mínimo de la información al consumidor </w:t>
      </w:r>
      <w:r w:rsidR="00862641">
        <w:t xml:space="preserve">financiero y que tiene una aplicación </w:t>
      </w:r>
      <w:r w:rsidR="00862641">
        <w:lastRenderedPageBreak/>
        <w:t xml:space="preserve">expresa frente a las AFP. </w:t>
      </w:r>
      <w:r>
        <w:t xml:space="preserve">Dicho deber ha de ser correctamente ponderado teniendo en cuenta los medios con los que cuenta la Entidad </w:t>
      </w:r>
      <w:r w:rsidR="006E0596">
        <w:t xml:space="preserve">para realizar un control efectivo de cada uno de los casos que impliquen una nulidad del traslado. </w:t>
      </w:r>
    </w:p>
    <w:p w14:paraId="4E56DAF1" w14:textId="101FB27C" w:rsidR="003E5885" w:rsidRDefault="002341C8" w:rsidP="00C95CAD">
      <w:pPr>
        <w:spacing w:line="480" w:lineRule="auto"/>
        <w:ind w:firstLine="709"/>
      </w:pPr>
      <w:r>
        <w:t>Por otro lado</w:t>
      </w:r>
      <w:r w:rsidR="006B42EA">
        <w:t xml:space="preserve">, es menester traer a colación </w:t>
      </w:r>
      <w:r w:rsidR="0084791B">
        <w:t>la Circular Externa 016 de 2016, mediante la cual</w:t>
      </w:r>
      <w:r w:rsidR="00B27A19">
        <w:t xml:space="preserve"> l</w:t>
      </w:r>
      <w:r w:rsidR="0084791B">
        <w:t xml:space="preserve">a </w:t>
      </w:r>
      <w:r w:rsidR="0084791B" w:rsidRPr="0084791B">
        <w:t xml:space="preserve">Superfinanciera define </w:t>
      </w:r>
      <w:r w:rsidR="00321D0F">
        <w:t xml:space="preserve">un </w:t>
      </w:r>
      <w:r w:rsidR="0084791B" w:rsidRPr="0084791B">
        <w:t>procedimiento para que los afiliados reciban asesoría integral antes de decidir trasladarse entre regímenes pensionales</w:t>
      </w:r>
      <w:r w:rsidR="0084791B">
        <w:t>, que fue dada a conocer mediante comunicado de prensa del 28 de abril de 2016.</w:t>
      </w:r>
      <w:r w:rsidR="003E5885">
        <w:t xml:space="preserve"> Según dicha norma, se busca lo siguiente:</w:t>
      </w:r>
    </w:p>
    <w:p w14:paraId="0AC660CC" w14:textId="13699695" w:rsidR="006B42EA" w:rsidRDefault="00321D0F" w:rsidP="003E5885">
      <w:pPr>
        <w:spacing w:line="480" w:lineRule="auto"/>
        <w:ind w:left="709"/>
      </w:pPr>
      <w:r>
        <w:t>“</w:t>
      </w:r>
      <w:r w:rsidR="003E5885">
        <w:t xml:space="preserve">(…) </w:t>
      </w:r>
      <w:r w:rsidR="003E5885" w:rsidRPr="003E5885">
        <w:t>el afiliado que quiera trasladarse de régimen pensional, es decir, pasar de una administradora del Régimen de Prima Media con Prestación Definida (RPMPD) como Colpensiones, al Régimen de Ahorro Individual con Solidaridad (RAIS) administrado por los fondos privados de pensiones, o viceversa, deberá recibir asesoría personalizada de parte de ambas entidades como condición necesaria para que sea procedente el traslado.</w:t>
      </w:r>
      <w:r w:rsidR="0084791B">
        <w:t xml:space="preserve"> </w:t>
      </w:r>
    </w:p>
    <w:p w14:paraId="539E16FF" w14:textId="10DE2ED2" w:rsidR="003E5885" w:rsidRDefault="003E5885" w:rsidP="003E5885">
      <w:pPr>
        <w:spacing w:line="480" w:lineRule="auto"/>
        <w:ind w:left="709"/>
      </w:pPr>
      <w:r>
        <w:t>(…)</w:t>
      </w:r>
    </w:p>
    <w:p w14:paraId="4FB3125D" w14:textId="09D80B1D" w:rsidR="003E5885" w:rsidRDefault="003E5885" w:rsidP="005E1ADA">
      <w:pPr>
        <w:spacing w:line="480" w:lineRule="auto"/>
        <w:ind w:left="709"/>
        <w:rPr>
          <w:lang w:val="es-CO"/>
        </w:rPr>
      </w:pPr>
      <w:r w:rsidRPr="003E5885">
        <w:t>La norma introduce el procedimiento para prestar el deber de asesoría de las entidades con sus afiliados. El objetivo es proteger al afiliado al garantizar que su decisión de traslado se realice con el acompañamiento y asesoría de las entidades teniendo en cuenta las circunstancias particulares de cada afiliado</w:t>
      </w:r>
      <w:r>
        <w:t xml:space="preserve"> (Superintendencia Financiera de Colombia, 2016)</w:t>
      </w:r>
      <w:r w:rsidRPr="003E5885">
        <w:t>.</w:t>
      </w:r>
    </w:p>
    <w:p w14:paraId="151AC925" w14:textId="114AD341" w:rsidR="002341C8" w:rsidRDefault="003E5885" w:rsidP="005E1ADA">
      <w:pPr>
        <w:spacing w:line="480" w:lineRule="auto"/>
        <w:ind w:firstLine="709"/>
        <w:rPr>
          <w:lang w:val="es-CO"/>
        </w:rPr>
      </w:pPr>
      <w:r>
        <w:rPr>
          <w:lang w:val="es-CO"/>
        </w:rPr>
        <w:t xml:space="preserve">Dicha </w:t>
      </w:r>
      <w:r w:rsidR="002341C8">
        <w:rPr>
          <w:lang w:val="es-CO"/>
        </w:rPr>
        <w:t>regulación resulta tardía</w:t>
      </w:r>
      <w:r>
        <w:rPr>
          <w:lang w:val="es-CO"/>
        </w:rPr>
        <w:t xml:space="preserve">, pues, desde la entrada en vigencia del Sistema General de Pensiones, se viene presentando la falta al deber de información por parte de los asesores y promotores de las AFP, y se ha dejado que la solución a tal problema sea por </w:t>
      </w:r>
      <w:r w:rsidR="002F6014">
        <w:rPr>
          <w:lang w:val="es-CO"/>
        </w:rPr>
        <w:t xml:space="preserve">la </w:t>
      </w:r>
      <w:r>
        <w:rPr>
          <w:lang w:val="es-CO"/>
        </w:rPr>
        <w:t>vía judicial</w:t>
      </w:r>
      <w:r w:rsidR="002F6014">
        <w:rPr>
          <w:lang w:val="es-CO"/>
        </w:rPr>
        <w:t xml:space="preserve">, pudiéndose haber evitado gran parte de las demandas </w:t>
      </w:r>
      <w:r w:rsidR="002F6014">
        <w:rPr>
          <w:lang w:val="es-CO"/>
        </w:rPr>
        <w:lastRenderedPageBreak/>
        <w:t>instauradas en las que se pretendía la ineficacia del traslado</w:t>
      </w:r>
      <w:r w:rsidR="002F12F8">
        <w:rPr>
          <w:lang w:val="es-CO"/>
        </w:rPr>
        <w:t>,</w:t>
      </w:r>
      <w:r w:rsidR="002F6014">
        <w:rPr>
          <w:lang w:val="es-CO"/>
        </w:rPr>
        <w:t xml:space="preserve"> </w:t>
      </w:r>
      <w:r w:rsidR="002F12F8">
        <w:rPr>
          <w:lang w:val="es-CO"/>
        </w:rPr>
        <w:t>l</w:t>
      </w:r>
      <w:r w:rsidR="002F6014">
        <w:rPr>
          <w:lang w:val="es-CO"/>
        </w:rPr>
        <w:t xml:space="preserve">o cual evidencia </w:t>
      </w:r>
      <w:r w:rsidR="007B5071">
        <w:rPr>
          <w:lang w:val="es-CO"/>
        </w:rPr>
        <w:t xml:space="preserve">un claro retardo injustificado de más de 20 años </w:t>
      </w:r>
      <w:r w:rsidR="002F6014">
        <w:rPr>
          <w:lang w:val="es-CO"/>
        </w:rPr>
        <w:t>por parte de la Superintendencia F</w:t>
      </w:r>
      <w:r w:rsidR="007B5071">
        <w:rPr>
          <w:lang w:val="es-CO"/>
        </w:rPr>
        <w:t xml:space="preserve">inanciera, lo que se constituye en una verdadera falla en el servicio, por la cual se ha generado un perjuicio a todos los afiliados que se trasladaron del RPM al RAIS con base en información incompleta y/o falsa. </w:t>
      </w:r>
    </w:p>
    <w:p w14:paraId="7F05DE0C" w14:textId="73C32644" w:rsidR="00D42E8B" w:rsidRDefault="002341C8" w:rsidP="005E1ADA">
      <w:pPr>
        <w:spacing w:line="480" w:lineRule="auto"/>
        <w:ind w:firstLine="709"/>
        <w:rPr>
          <w:lang w:val="es-CO"/>
        </w:rPr>
      </w:pPr>
      <w:r>
        <w:rPr>
          <w:lang w:val="es-CO"/>
        </w:rPr>
        <w:t>Así, en síntesis, se puede hablar de responsabilidad por parte de la Superintendencia Financiera de Colombia por dos motivos: i) uno general, por el retardo en una debida regulación en el tema de las asesorías por parte de las AFP y sus promotores, y ii) otro particular, por el no ejercicio d</w:t>
      </w:r>
      <w:r w:rsidR="00700305">
        <w:rPr>
          <w:lang w:val="es-CO"/>
        </w:rPr>
        <w:t xml:space="preserve">e las facultades sancionatorias, de manera oficiosa o a petición de parte, </w:t>
      </w:r>
      <w:r>
        <w:rPr>
          <w:lang w:val="es-CO"/>
        </w:rPr>
        <w:t>en materia de información por parte de las AFP.</w:t>
      </w:r>
    </w:p>
    <w:p w14:paraId="08985AF8" w14:textId="5627987A" w:rsidR="007C39BB" w:rsidRDefault="00274EEF" w:rsidP="007C39BB">
      <w:pPr>
        <w:spacing w:line="480" w:lineRule="auto"/>
        <w:ind w:left="709"/>
        <w:rPr>
          <w:rFonts w:eastAsia="Times New Roman"/>
        </w:rPr>
      </w:pPr>
      <w:r>
        <w:rPr>
          <w:bCs/>
          <w:iCs/>
          <w:noProof/>
        </w:rPr>
        <mc:AlternateContent>
          <mc:Choice Requires="wps">
            <w:drawing>
              <wp:anchor distT="0" distB="0" distL="114300" distR="114300" simplePos="0" relativeHeight="251698176" behindDoc="0" locked="0" layoutInCell="1" allowOverlap="1" wp14:anchorId="366285A3" wp14:editId="56B972CF">
                <wp:simplePos x="0" y="0"/>
                <wp:positionH relativeFrom="column">
                  <wp:posOffset>160655</wp:posOffset>
                </wp:positionH>
                <wp:positionV relativeFrom="paragraph">
                  <wp:posOffset>194945</wp:posOffset>
                </wp:positionV>
                <wp:extent cx="1771650" cy="361950"/>
                <wp:effectExtent l="0" t="0" r="19050" b="19050"/>
                <wp:wrapNone/>
                <wp:docPr id="33" name="33 Rectángulo"/>
                <wp:cNvGraphicFramePr/>
                <a:graphic xmlns:a="http://schemas.openxmlformats.org/drawingml/2006/main">
                  <a:graphicData uri="http://schemas.microsoft.com/office/word/2010/wordprocessingShape">
                    <wps:wsp>
                      <wps:cNvSpPr/>
                      <wps:spPr>
                        <a:xfrm>
                          <a:off x="0" y="0"/>
                          <a:ext cx="1771650" cy="3619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766172" w14:textId="52DFE033" w:rsidR="00712063" w:rsidRPr="004E68BE" w:rsidRDefault="00712063" w:rsidP="007C39BB">
                            <w:pPr>
                              <w:jc w:val="center"/>
                              <w:rPr>
                                <w:b/>
                                <w:lang w:val="es-CO"/>
                                <w14:textOutline w14:w="9525" w14:cap="rnd" w14:cmpd="sng" w14:algn="ctr">
                                  <w14:solidFill>
                                    <w14:srgbClr w14:val="000000"/>
                                  </w14:solidFill>
                                  <w14:prstDash w14:val="solid"/>
                                  <w14:bevel/>
                                </w14:textOutline>
                              </w:rPr>
                            </w:pPr>
                            <w:r>
                              <w:rPr>
                                <w:b/>
                                <w:color w:val="000000" w:themeColor="text1"/>
                                <w:lang w:val="es-CO"/>
                              </w:rPr>
                              <w:t>Responsabilidad estatal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3 Rectángulo" o:spid="_x0000_s1045" style="position:absolute;left:0;text-align:left;margin-left:12.65pt;margin-top:15.35pt;width:139.5pt;height:28.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" filled="f" strokecolor="black [3213]" strokeweight="1pt">
                <v:textbox>
                  <w:txbxContent>
                    <w:p w14:paraId="53766172" w14:textId="52DFE033" w:rsidR="00712063" w:rsidRPr="004E68BE" w:rsidRDefault="00712063" w:rsidP="007C39BB">
                      <w:pPr>
                        <w:jc w:val="center"/>
                        <w:rPr>
                          <w:b/>
                          <w:lang w:val="es-CO"/>
                          <w14:textOutline w14:w="9525" w14:cap="rnd" w14:cmpd="sng" w14:algn="ctr">
                            <w14:solidFill>
                              <w14:srgbClr w14:val="000000"/>
                            </w14:solidFill>
                            <w14:prstDash w14:val="solid"/>
                            <w14:bevel/>
                          </w14:textOutline>
                        </w:rPr>
                      </w:pPr>
                      <w:r>
                        <w:rPr>
                          <w:b/>
                          <w:color w:val="000000" w:themeColor="text1"/>
                          <w:lang w:val="es-CO"/>
                        </w:rPr>
                        <w:t>Responsabilidad estatal</w:t>
                      </w:r>
                    </w:p>
                  </w:txbxContent>
                </v:textbox>
              </v:rect>
            </w:pict>
          </mc:Fallback>
        </mc:AlternateContent>
      </w:r>
    </w:p>
    <w:p w14:paraId="57E683BB" w14:textId="6135A547" w:rsidR="007C39BB" w:rsidRDefault="00E275CE" w:rsidP="007C39BB">
      <w:pPr>
        <w:spacing w:line="480" w:lineRule="auto"/>
        <w:ind w:left="709"/>
        <w:rPr>
          <w:rFonts w:eastAsia="Times New Roman"/>
        </w:rPr>
      </w:pPr>
      <w:r>
        <w:rPr>
          <w:bCs/>
          <w:iCs/>
          <w:noProof/>
        </w:rPr>
        <mc:AlternateContent>
          <mc:Choice Requires="wps">
            <w:drawing>
              <wp:anchor distT="0" distB="0" distL="114300" distR="114300" simplePos="0" relativeHeight="251723776" behindDoc="0" locked="0" layoutInCell="1" allowOverlap="1" wp14:anchorId="64CC3516" wp14:editId="77FA30B8">
                <wp:simplePos x="0" y="0"/>
                <wp:positionH relativeFrom="column">
                  <wp:posOffset>2444750</wp:posOffset>
                </wp:positionH>
                <wp:positionV relativeFrom="paragraph">
                  <wp:posOffset>215900</wp:posOffset>
                </wp:positionV>
                <wp:extent cx="2038350" cy="476250"/>
                <wp:effectExtent l="0" t="0" r="19050" b="19050"/>
                <wp:wrapNone/>
                <wp:docPr id="35" name="35 Rectángulo"/>
                <wp:cNvGraphicFramePr/>
                <a:graphic xmlns:a="http://schemas.openxmlformats.org/drawingml/2006/main">
                  <a:graphicData uri="http://schemas.microsoft.com/office/word/2010/wordprocessingShape">
                    <wps:wsp>
                      <wps:cNvSpPr/>
                      <wps:spPr>
                        <a:xfrm>
                          <a:off x="0" y="0"/>
                          <a:ext cx="2038350" cy="4762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216B5C3" w14:textId="117AC615" w:rsidR="00712063" w:rsidRPr="00274EEF" w:rsidRDefault="00712063" w:rsidP="007C39BB">
                            <w:pPr>
                              <w:jc w:val="center"/>
                              <w:rPr>
                                <w:b/>
                                <w:lang w:val="es-CO"/>
                                <w14:textOutline w14:w="9525" w14:cap="rnd" w14:cmpd="sng" w14:algn="ctr">
                                  <w14:solidFill>
                                    <w14:srgbClr w14:val="000000"/>
                                  </w14:solidFill>
                                  <w14:prstDash w14:val="solid"/>
                                  <w14:bevel/>
                                </w14:textOutline>
                              </w:rPr>
                            </w:pPr>
                            <w:r>
                              <w:rPr>
                                <w:b/>
                                <w:color w:val="000000" w:themeColor="text1"/>
                                <w:lang w:val="es-CO"/>
                              </w:rPr>
                              <w:t>Superintendencia Financiera de Colombia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5 Rectángulo" o:spid="_x0000_s1046" style="position:absolute;left:0;text-align:left;margin-left:192.5pt;margin-top:17pt;width:160.5pt;height:37.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" filled="f" strokecolor="black [3213]" strokeweight="1pt">
                <v:textbox>
                  <w:txbxContent>
                    <w:p w14:paraId="3216B5C3" w14:textId="117AC615" w:rsidR="00712063" w:rsidRPr="00274EEF" w:rsidRDefault="00712063" w:rsidP="007C39BB">
                      <w:pPr>
                        <w:jc w:val="center"/>
                        <w:rPr>
                          <w:b/>
                          <w:lang w:val="es-CO"/>
                          <w14:textOutline w14:w="9525" w14:cap="rnd" w14:cmpd="sng" w14:algn="ctr">
                            <w14:solidFill>
                              <w14:srgbClr w14:val="000000"/>
                            </w14:solidFill>
                            <w14:prstDash w14:val="solid"/>
                            <w14:bevel/>
                          </w14:textOutline>
                        </w:rPr>
                      </w:pPr>
                      <w:r>
                        <w:rPr>
                          <w:b/>
                          <w:color w:val="000000" w:themeColor="text1"/>
                          <w:lang w:val="es-CO"/>
                        </w:rPr>
                        <w:t>Superintendencia Financiera de Colombia</w:t>
                      </w:r>
                    </w:p>
                  </w:txbxContent>
                </v:textbox>
              </v:rect>
            </w:pict>
          </mc:Fallback>
        </mc:AlternateContent>
      </w:r>
      <w:r>
        <w:rPr>
          <w:bCs/>
          <w:iCs/>
          <w:noProof/>
        </w:rPr>
        <mc:AlternateContent>
          <mc:Choice Requires="wps">
            <w:drawing>
              <wp:anchor distT="0" distB="0" distL="114300" distR="114300" simplePos="0" relativeHeight="251713536" behindDoc="0" locked="0" layoutInCell="1" allowOverlap="1" wp14:anchorId="4B2678FD" wp14:editId="044A902B">
                <wp:simplePos x="0" y="0"/>
                <wp:positionH relativeFrom="column">
                  <wp:posOffset>1932305</wp:posOffset>
                </wp:positionH>
                <wp:positionV relativeFrom="paragraph">
                  <wp:posOffset>44450</wp:posOffset>
                </wp:positionV>
                <wp:extent cx="513715" cy="332740"/>
                <wp:effectExtent l="0" t="0" r="19685" b="29210"/>
                <wp:wrapNone/>
                <wp:docPr id="38" name="38 Conector recto"/>
                <wp:cNvGraphicFramePr/>
                <a:graphic xmlns:a="http://schemas.openxmlformats.org/drawingml/2006/main">
                  <a:graphicData uri="http://schemas.microsoft.com/office/word/2010/wordprocessingShape">
                    <wps:wsp>
                      <wps:cNvCnPr/>
                      <wps:spPr>
                        <a:xfrm flipH="1" flipV="1">
                          <a:off x="0" y="0"/>
                          <a:ext cx="513715" cy="33274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B968162" id="38 Conector recto" o:spid="_x0000_s1026" style="position:absolute;flip:x y;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2.15pt,3.5pt" to="192.6pt,2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" strokecolor="black [3200]" strokeweight=".5pt">
                <v:stroke joinstyle="miter"/>
              </v:line>
            </w:pict>
          </mc:Fallback>
        </mc:AlternateContent>
      </w:r>
      <w:r>
        <w:rPr>
          <w:bCs/>
          <w:iCs/>
          <w:noProof/>
        </w:rPr>
        <mc:AlternateContent>
          <mc:Choice Requires="wps">
            <w:drawing>
              <wp:anchor distT="0" distB="0" distL="114300" distR="114300" simplePos="0" relativeHeight="251699200" behindDoc="0" locked="0" layoutInCell="1" allowOverlap="1" wp14:anchorId="4D1D9B8B" wp14:editId="62126D5B">
                <wp:simplePos x="0" y="0"/>
                <wp:positionH relativeFrom="column">
                  <wp:posOffset>998855</wp:posOffset>
                </wp:positionH>
                <wp:positionV relativeFrom="paragraph">
                  <wp:posOffset>208280</wp:posOffset>
                </wp:positionV>
                <wp:extent cx="0" cy="332740"/>
                <wp:effectExtent l="0" t="0" r="19050" b="10160"/>
                <wp:wrapNone/>
                <wp:docPr id="36" name="36 Conector recto"/>
                <wp:cNvGraphicFramePr/>
                <a:graphic xmlns:a="http://schemas.openxmlformats.org/drawingml/2006/main">
                  <a:graphicData uri="http://schemas.microsoft.com/office/word/2010/wordprocessingShape">
                    <wps:wsp>
                      <wps:cNvCnPr/>
                      <wps:spPr>
                        <a:xfrm>
                          <a:off x="0" y="0"/>
                          <a:ext cx="0" cy="33274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9AF2AC9" id="36 Conector recto" o:spid="_x0000_s1026" style="position:absolute;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8.65pt,16.4pt" to="78.65pt,4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" strokecolor="black [3200]" strokeweight=".5pt">
                <v:stroke joinstyle="miter"/>
              </v:line>
            </w:pict>
          </mc:Fallback>
        </mc:AlternateContent>
      </w:r>
    </w:p>
    <w:p w14:paraId="41587A25" w14:textId="71997733" w:rsidR="007C39BB" w:rsidRDefault="00E275CE" w:rsidP="007C39BB">
      <w:pPr>
        <w:spacing w:line="480" w:lineRule="auto"/>
        <w:ind w:left="709"/>
        <w:rPr>
          <w:bCs/>
          <w:iCs/>
        </w:rPr>
      </w:pPr>
      <w:r>
        <w:rPr>
          <w:bCs/>
          <w:iCs/>
          <w:noProof/>
        </w:rPr>
        <mc:AlternateContent>
          <mc:Choice Requires="wps">
            <w:drawing>
              <wp:anchor distT="0" distB="0" distL="114300" distR="114300" simplePos="0" relativeHeight="251715584" behindDoc="0" locked="0" layoutInCell="1" allowOverlap="1" wp14:anchorId="7FC6F4F8" wp14:editId="45C4E3DC">
                <wp:simplePos x="0" y="0"/>
                <wp:positionH relativeFrom="column">
                  <wp:posOffset>3437255</wp:posOffset>
                </wp:positionH>
                <wp:positionV relativeFrom="paragraph">
                  <wp:posOffset>339725</wp:posOffset>
                </wp:positionV>
                <wp:extent cx="0" cy="342900"/>
                <wp:effectExtent l="0" t="0" r="19050" b="19050"/>
                <wp:wrapNone/>
                <wp:docPr id="48" name="48 Conector recto"/>
                <wp:cNvGraphicFramePr/>
                <a:graphic xmlns:a="http://schemas.openxmlformats.org/drawingml/2006/main">
                  <a:graphicData uri="http://schemas.microsoft.com/office/word/2010/wordprocessingShape">
                    <wps:wsp>
                      <wps:cNvCnPr/>
                      <wps:spPr>
                        <a:xfrm flipV="1">
                          <a:off x="0" y="0"/>
                          <a:ext cx="0" cy="3429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9A43289" id="48 Conector recto" o:spid="_x0000_s1026" style="position:absolute;flip:y;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0.65pt,26.75pt" to="270.65pt,5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" strokecolor="black [3200]" strokeweight=".5pt">
                <v:stroke joinstyle="miter"/>
              </v:line>
            </w:pict>
          </mc:Fallback>
        </mc:AlternateContent>
      </w:r>
      <w:r>
        <w:rPr>
          <w:bCs/>
          <w:iCs/>
          <w:noProof/>
        </w:rPr>
        <mc:AlternateContent>
          <mc:Choice Requires="wps">
            <w:drawing>
              <wp:anchor distT="0" distB="0" distL="114300" distR="114300" simplePos="0" relativeHeight="251700224" behindDoc="0" locked="0" layoutInCell="1" allowOverlap="1" wp14:anchorId="78A000A8" wp14:editId="277EC7D4">
                <wp:simplePos x="0" y="0"/>
                <wp:positionH relativeFrom="column">
                  <wp:posOffset>160655</wp:posOffset>
                </wp:positionH>
                <wp:positionV relativeFrom="paragraph">
                  <wp:posOffset>199390</wp:posOffset>
                </wp:positionV>
                <wp:extent cx="1914525" cy="619125"/>
                <wp:effectExtent l="0" t="0" r="28575" b="28575"/>
                <wp:wrapNone/>
                <wp:docPr id="39" name="39 Rectángulo"/>
                <wp:cNvGraphicFramePr/>
                <a:graphic xmlns:a="http://schemas.openxmlformats.org/drawingml/2006/main">
                  <a:graphicData uri="http://schemas.microsoft.com/office/word/2010/wordprocessingShape">
                    <wps:wsp>
                      <wps:cNvSpPr/>
                      <wps:spPr>
                        <a:xfrm>
                          <a:off x="0" y="0"/>
                          <a:ext cx="1914525" cy="61912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844CDF6" w14:textId="65E94E0B" w:rsidR="00712063" w:rsidRPr="00274EEF" w:rsidRDefault="00712063" w:rsidP="007C39BB">
                            <w:pPr>
                              <w:jc w:val="center"/>
                              <w:rPr>
                                <w:b/>
                                <w:color w:val="000000" w:themeColor="text1"/>
                                <w:lang w:val="es-CO"/>
                              </w:rPr>
                            </w:pPr>
                            <w:r>
                              <w:rPr>
                                <w:color w:val="000000" w:themeColor="text1"/>
                                <w:lang w:val="es-CO"/>
                              </w:rPr>
                              <w:t xml:space="preserve">Cuando </w:t>
                            </w:r>
                            <w:r w:rsidRPr="00274EEF">
                              <w:rPr>
                                <w:color w:val="000000" w:themeColor="text1"/>
                                <w:lang w:val="es-CO"/>
                              </w:rPr>
                              <w:t>ocurr</w:t>
                            </w:r>
                            <w:r>
                              <w:rPr>
                                <w:color w:val="000000" w:themeColor="text1"/>
                                <w:lang w:val="es-CO"/>
                              </w:rPr>
                              <w:t xml:space="preserve">e un daño antijurídico </w:t>
                            </w:r>
                            <w:r w:rsidRPr="00274EEF">
                              <w:rPr>
                                <w:color w:val="000000" w:themeColor="text1"/>
                                <w:lang w:val="es-CO"/>
                              </w:rPr>
                              <w:t>imputable a un ente público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39 Rectángulo" o:spid="_x0000_s1047" style="position:absolute;left:0;text-align:left;margin-left:12.65pt;margin-top:15.7pt;width:150.75pt;height:48.75pt;z-index:2517002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" filled="f" strokecolor="black [3213]" strokeweight="1pt">
                <v:textbox>
                  <w:txbxContent>
                    <w:p w14:paraId="6844CDF6" w14:textId="65E94E0B" w:rsidR="00712063" w:rsidRPr="00274EEF" w:rsidRDefault="00712063" w:rsidP="007C39BB">
                      <w:pPr>
                        <w:jc w:val="center"/>
                        <w:rPr>
                          <w:b/>
                          <w:color w:val="000000" w:themeColor="text1"/>
                          <w:lang w:val="es-CO"/>
                        </w:rPr>
                      </w:pPr>
                      <w:r>
                        <w:rPr>
                          <w:color w:val="000000" w:themeColor="text1"/>
                          <w:lang w:val="es-CO"/>
                        </w:rPr>
                        <w:t xml:space="preserve">Cuando </w:t>
                      </w:r>
                      <w:r w:rsidRPr="00274EEF">
                        <w:rPr>
                          <w:color w:val="000000" w:themeColor="text1"/>
                          <w:lang w:val="es-CO"/>
                        </w:rPr>
                        <w:t>ocurr</w:t>
                      </w:r>
                      <w:r>
                        <w:rPr>
                          <w:color w:val="000000" w:themeColor="text1"/>
                          <w:lang w:val="es-CO"/>
                        </w:rPr>
                        <w:t xml:space="preserve">e un daño antijurídico </w:t>
                      </w:r>
                      <w:r w:rsidRPr="00274EEF">
                        <w:rPr>
                          <w:color w:val="000000" w:themeColor="text1"/>
                          <w:lang w:val="es-CO"/>
                        </w:rPr>
                        <w:t>imputable a un ente público</w:t>
                      </w:r>
                    </w:p>
                  </w:txbxContent>
                </v:textbox>
              </v:rect>
            </w:pict>
          </mc:Fallback>
        </mc:AlternateContent>
      </w:r>
    </w:p>
    <w:p w14:paraId="7A52B5C7" w14:textId="769909DE" w:rsidR="007C39BB" w:rsidRDefault="00E275CE" w:rsidP="007C39BB">
      <w:pPr>
        <w:spacing w:line="480" w:lineRule="auto"/>
        <w:ind w:firstLine="709"/>
        <w:rPr>
          <w:bCs/>
          <w:iCs/>
        </w:rPr>
      </w:pPr>
      <w:r>
        <w:rPr>
          <w:bCs/>
          <w:iCs/>
          <w:noProof/>
        </w:rPr>
        <mc:AlternateContent>
          <mc:Choice Requires="wps">
            <w:drawing>
              <wp:anchor distT="0" distB="0" distL="114300" distR="114300" simplePos="0" relativeHeight="251714560" behindDoc="0" locked="0" layoutInCell="1" allowOverlap="1" wp14:anchorId="761481A1" wp14:editId="6BAB34EF">
                <wp:simplePos x="0" y="0"/>
                <wp:positionH relativeFrom="column">
                  <wp:posOffset>2616744</wp:posOffset>
                </wp:positionH>
                <wp:positionV relativeFrom="paragraph">
                  <wp:posOffset>334010</wp:posOffset>
                </wp:positionV>
                <wp:extent cx="1666875" cy="916940"/>
                <wp:effectExtent l="0" t="0" r="34925" b="22860"/>
                <wp:wrapNone/>
                <wp:docPr id="40" name="40 Rectángulo"/>
                <wp:cNvGraphicFramePr/>
                <a:graphic xmlns:a="http://schemas.openxmlformats.org/drawingml/2006/main">
                  <a:graphicData uri="http://schemas.microsoft.com/office/word/2010/wordprocessingShape">
                    <wps:wsp>
                      <wps:cNvSpPr/>
                      <wps:spPr>
                        <a:xfrm>
                          <a:off x="0" y="0"/>
                          <a:ext cx="1666875" cy="91694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A7569DF" w14:textId="1B340C55" w:rsidR="00712063" w:rsidRPr="00914651" w:rsidRDefault="00712063" w:rsidP="007C39BB">
                            <w:pPr>
                              <w:jc w:val="center"/>
                              <w:rPr>
                                <w:lang w:val="es-CO"/>
                                <w14:textOutline w14:w="9525" w14:cap="rnd" w14:cmpd="sng" w14:algn="ctr">
                                  <w14:solidFill>
                                    <w14:srgbClr w14:val="000000"/>
                                  </w14:solidFill>
                                  <w14:prstDash w14:val="solid"/>
                                  <w14:bevel/>
                                </w14:textOutline>
                              </w:rPr>
                            </w:pPr>
                            <w:r w:rsidRPr="005C0503">
                              <w:rPr>
                                <w:color w:val="000000" w:themeColor="text1"/>
                                <w:lang w:val="es-CO"/>
                              </w:rPr>
                              <w:t>Función de inspección, vigilancia y control sobre las actuaciones de las AFP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40 Rectángulo" o:spid="_x0000_s1048" style="position:absolute;left:0;text-align:left;margin-left:206.05pt;margin-top:26.3pt;width:131.25pt;height:72.2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" filled="f" strokecolor="black [3213]" strokeweight="1pt">
                <v:textbox>
                  <w:txbxContent>
                    <w:p w14:paraId="7A7569DF" w14:textId="1B340C55" w:rsidR="00712063" w:rsidRPr="00914651" w:rsidRDefault="00712063" w:rsidP="007C39BB">
                      <w:pPr>
                        <w:jc w:val="center"/>
                        <w:rPr>
                          <w:lang w:val="es-CO"/>
                          <w14:textOutline w14:w="9525" w14:cap="rnd" w14:cmpd="sng" w14:algn="ctr">
                            <w14:solidFill>
                              <w14:srgbClr w14:val="000000"/>
                            </w14:solidFill>
                            <w14:prstDash w14:val="solid"/>
                            <w14:bevel/>
                          </w14:textOutline>
                        </w:rPr>
                      </w:pPr>
                      <w:r w:rsidRPr="005C0503">
                        <w:rPr>
                          <w:color w:val="000000" w:themeColor="text1"/>
                          <w:lang w:val="es-CO"/>
                        </w:rPr>
                        <w:t>Función de inspección, vigilancia y control sobre las actuaciones de las AFP</w:t>
                      </w:r>
                    </w:p>
                  </w:txbxContent>
                </v:textbox>
              </v:rect>
            </w:pict>
          </mc:Fallback>
        </mc:AlternateContent>
      </w:r>
    </w:p>
    <w:p w14:paraId="5214996A" w14:textId="462E3AF8" w:rsidR="007C39BB" w:rsidRPr="004E68BE" w:rsidRDefault="00274EEF" w:rsidP="007C39BB">
      <w:pPr>
        <w:tabs>
          <w:tab w:val="left" w:pos="3000"/>
        </w:tabs>
        <w:spacing w:line="480" w:lineRule="auto"/>
        <w:ind w:firstLine="709"/>
        <w:rPr>
          <w:b/>
          <w:bCs/>
          <w:iCs/>
        </w:rPr>
      </w:pPr>
      <w:r>
        <w:rPr>
          <w:bCs/>
          <w:iCs/>
          <w:noProof/>
        </w:rPr>
        <mc:AlternateContent>
          <mc:Choice Requires="wps">
            <w:drawing>
              <wp:anchor distT="0" distB="0" distL="114300" distR="114300" simplePos="0" relativeHeight="251722752" behindDoc="0" locked="0" layoutInCell="1" allowOverlap="1" wp14:anchorId="3EABA646" wp14:editId="4483288F">
                <wp:simplePos x="0" y="0"/>
                <wp:positionH relativeFrom="column">
                  <wp:posOffset>998855</wp:posOffset>
                </wp:positionH>
                <wp:positionV relativeFrom="paragraph">
                  <wp:posOffset>118745</wp:posOffset>
                </wp:positionV>
                <wp:extent cx="0" cy="333375"/>
                <wp:effectExtent l="0" t="0" r="19050" b="9525"/>
                <wp:wrapNone/>
                <wp:docPr id="31" name="31 Conector recto"/>
                <wp:cNvGraphicFramePr/>
                <a:graphic xmlns:a="http://schemas.openxmlformats.org/drawingml/2006/main">
                  <a:graphicData uri="http://schemas.microsoft.com/office/word/2010/wordprocessingShape">
                    <wps:wsp>
                      <wps:cNvCnPr/>
                      <wps:spPr>
                        <a:xfrm flipV="1">
                          <a:off x="0" y="0"/>
                          <a:ext cx="0" cy="3333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EB56F01" id="31 Conector recto" o:spid="_x0000_s1026" style="position:absolute;flip:y;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8.65pt,9.35pt" to="78.65pt,3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" strokecolor="black [3200]" strokeweight=".5pt">
                <v:stroke joinstyle="miter"/>
              </v:line>
            </w:pict>
          </mc:Fallback>
        </mc:AlternateContent>
      </w:r>
      <w:r w:rsidR="007C39BB">
        <w:rPr>
          <w:bCs/>
          <w:iCs/>
        </w:rPr>
        <w:tab/>
      </w:r>
    </w:p>
    <w:p w14:paraId="7B4E5697" w14:textId="18C56621" w:rsidR="007C39BB" w:rsidRDefault="00274EEF" w:rsidP="007C39BB">
      <w:pPr>
        <w:spacing w:line="480" w:lineRule="auto"/>
        <w:ind w:firstLine="709"/>
        <w:rPr>
          <w:bCs/>
          <w:iCs/>
        </w:rPr>
      </w:pPr>
      <w:r>
        <w:rPr>
          <w:bCs/>
          <w:iCs/>
          <w:noProof/>
        </w:rPr>
        <mc:AlternateContent>
          <mc:Choice Requires="wps">
            <w:drawing>
              <wp:anchor distT="0" distB="0" distL="114300" distR="114300" simplePos="0" relativeHeight="251708416" behindDoc="0" locked="0" layoutInCell="1" allowOverlap="1" wp14:anchorId="0BDB1C67" wp14:editId="6DE5FA1A">
                <wp:simplePos x="0" y="0"/>
                <wp:positionH relativeFrom="column">
                  <wp:posOffset>160655</wp:posOffset>
                </wp:positionH>
                <wp:positionV relativeFrom="paragraph">
                  <wp:posOffset>90170</wp:posOffset>
                </wp:positionV>
                <wp:extent cx="1704975" cy="314325"/>
                <wp:effectExtent l="0" t="0" r="28575" b="28575"/>
                <wp:wrapNone/>
                <wp:docPr id="43" name="43 Rectángulo"/>
                <wp:cNvGraphicFramePr/>
                <a:graphic xmlns:a="http://schemas.openxmlformats.org/drawingml/2006/main">
                  <a:graphicData uri="http://schemas.microsoft.com/office/word/2010/wordprocessingShape">
                    <wps:wsp>
                      <wps:cNvSpPr/>
                      <wps:spPr>
                        <a:xfrm>
                          <a:off x="0" y="0"/>
                          <a:ext cx="1704975" cy="31432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77A82E8" w14:textId="539EA83B" w:rsidR="00712063" w:rsidRPr="00B7300B" w:rsidRDefault="00712063" w:rsidP="007C39BB">
                            <w:pPr>
                              <w:jc w:val="center"/>
                              <w:rPr>
                                <w:b/>
                                <w:color w:val="000000" w:themeColor="text1"/>
                                <w:lang w:val="es-CO"/>
                              </w:rPr>
                            </w:pPr>
                            <w:r>
                              <w:rPr>
                                <w:b/>
                                <w:color w:val="000000" w:themeColor="text1"/>
                                <w:lang w:val="es-CO"/>
                              </w:rPr>
                              <w:t>Título de imputación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43 Rectángulo" o:spid="_x0000_s1049" style="position:absolute;left:0;text-align:left;margin-left:12.65pt;margin-top:7.1pt;width:134.25pt;height:24.7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" filled="f" strokecolor="black [3213]" strokeweight="1pt">
                <v:textbox>
                  <w:txbxContent>
                    <w:p w14:paraId="077A82E8" w14:textId="539EA83B" w:rsidR="00712063" w:rsidRPr="00B7300B" w:rsidRDefault="00712063" w:rsidP="007C39BB">
                      <w:pPr>
                        <w:jc w:val="center"/>
                        <w:rPr>
                          <w:b/>
                          <w:color w:val="000000" w:themeColor="text1"/>
                          <w:lang w:val="es-CO"/>
                        </w:rPr>
                      </w:pPr>
                      <w:r>
                        <w:rPr>
                          <w:b/>
                          <w:color w:val="000000" w:themeColor="text1"/>
                          <w:lang w:val="es-CO"/>
                        </w:rPr>
                        <w:t>Título de imputación</w:t>
                      </w:r>
                    </w:p>
                  </w:txbxContent>
                </v:textbox>
              </v:rect>
            </w:pict>
          </mc:Fallback>
        </mc:AlternateContent>
      </w:r>
    </w:p>
    <w:p w14:paraId="075CCBF4" w14:textId="466B6778" w:rsidR="007C39BB" w:rsidRDefault="00E275CE" w:rsidP="007C39BB">
      <w:pPr>
        <w:spacing w:line="480" w:lineRule="auto"/>
        <w:ind w:firstLine="709"/>
        <w:rPr>
          <w:bCs/>
          <w:iCs/>
        </w:rPr>
      </w:pPr>
      <w:r>
        <w:rPr>
          <w:bCs/>
          <w:iCs/>
          <w:noProof/>
        </w:rPr>
        <mc:AlternateContent>
          <mc:Choice Requires="wps">
            <w:drawing>
              <wp:anchor distT="0" distB="0" distL="114300" distR="114300" simplePos="0" relativeHeight="251709440" behindDoc="0" locked="0" layoutInCell="1" allowOverlap="1" wp14:anchorId="03769AAF" wp14:editId="69093759">
                <wp:simplePos x="0" y="0"/>
                <wp:positionH relativeFrom="column">
                  <wp:posOffset>3513455</wp:posOffset>
                </wp:positionH>
                <wp:positionV relativeFrom="paragraph">
                  <wp:posOffset>15875</wp:posOffset>
                </wp:positionV>
                <wp:extent cx="0" cy="409575"/>
                <wp:effectExtent l="0" t="0" r="19050" b="9525"/>
                <wp:wrapNone/>
                <wp:docPr id="45" name="45 Conector recto"/>
                <wp:cNvGraphicFramePr/>
                <a:graphic xmlns:a="http://schemas.openxmlformats.org/drawingml/2006/main">
                  <a:graphicData uri="http://schemas.microsoft.com/office/word/2010/wordprocessingShape">
                    <wps:wsp>
                      <wps:cNvCnPr/>
                      <wps:spPr>
                        <a:xfrm>
                          <a:off x="0" y="0"/>
                          <a:ext cx="0" cy="4095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EE32EEC" id="45 Conector recto" o:spid="_x0000_s1026" style="position:absolute;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6.65pt,1.25pt" to="276.65pt,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" strokecolor="black [3200]" strokeweight=".5pt">
                <v:stroke joinstyle="miter"/>
              </v:line>
            </w:pict>
          </mc:Fallback>
        </mc:AlternateContent>
      </w:r>
      <w:r>
        <w:rPr>
          <w:bCs/>
          <w:iCs/>
          <w:noProof/>
        </w:rPr>
        <mc:AlternateContent>
          <mc:Choice Requires="wps">
            <w:drawing>
              <wp:anchor distT="0" distB="0" distL="114300" distR="114300" simplePos="0" relativeHeight="251725824" behindDoc="0" locked="0" layoutInCell="1" allowOverlap="1" wp14:anchorId="60EA1D5A" wp14:editId="74D55072">
                <wp:simplePos x="0" y="0"/>
                <wp:positionH relativeFrom="column">
                  <wp:posOffset>998855</wp:posOffset>
                </wp:positionH>
                <wp:positionV relativeFrom="paragraph">
                  <wp:posOffset>63500</wp:posOffset>
                </wp:positionV>
                <wp:extent cx="0" cy="361950"/>
                <wp:effectExtent l="0" t="0" r="19050" b="19050"/>
                <wp:wrapNone/>
                <wp:docPr id="41" name="41 Conector recto"/>
                <wp:cNvGraphicFramePr/>
                <a:graphic xmlns:a="http://schemas.openxmlformats.org/drawingml/2006/main">
                  <a:graphicData uri="http://schemas.microsoft.com/office/word/2010/wordprocessingShape">
                    <wps:wsp>
                      <wps:cNvCnPr/>
                      <wps:spPr>
                        <a:xfrm flipV="1">
                          <a:off x="0" y="0"/>
                          <a:ext cx="0" cy="3619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079DDCA" id="41 Conector recto" o:spid="_x0000_s1026" style="position:absolute;flip:y;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8.65pt,5pt" to="78.65pt,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" strokecolor="black [3200]" strokeweight=".5pt">
                <v:stroke joinstyle="miter"/>
              </v:line>
            </w:pict>
          </mc:Fallback>
        </mc:AlternateContent>
      </w:r>
    </w:p>
    <w:p w14:paraId="0E09151A" w14:textId="518E493C" w:rsidR="007C39BB" w:rsidRDefault="00E275CE" w:rsidP="00274EEF">
      <w:pPr>
        <w:tabs>
          <w:tab w:val="left" w:pos="2850"/>
        </w:tabs>
        <w:spacing w:line="480" w:lineRule="auto"/>
        <w:ind w:firstLine="709"/>
        <w:rPr>
          <w:bCs/>
          <w:iCs/>
        </w:rPr>
      </w:pPr>
      <w:r>
        <w:rPr>
          <w:bCs/>
          <w:iCs/>
          <w:noProof/>
        </w:rPr>
        <mc:AlternateContent>
          <mc:Choice Requires="wps">
            <w:drawing>
              <wp:anchor distT="0" distB="0" distL="114300" distR="114300" simplePos="0" relativeHeight="251702272" behindDoc="0" locked="0" layoutInCell="1" allowOverlap="1" wp14:anchorId="1AA0DC6A" wp14:editId="5A9C5D02">
                <wp:simplePos x="0" y="0"/>
                <wp:positionH relativeFrom="column">
                  <wp:posOffset>2550795</wp:posOffset>
                </wp:positionH>
                <wp:positionV relativeFrom="paragraph">
                  <wp:posOffset>-2540</wp:posOffset>
                </wp:positionV>
                <wp:extent cx="1838325" cy="952500"/>
                <wp:effectExtent l="0" t="0" r="28575" b="19050"/>
                <wp:wrapNone/>
                <wp:docPr id="44" name="44 Rectángulo"/>
                <wp:cNvGraphicFramePr/>
                <a:graphic xmlns:a="http://schemas.openxmlformats.org/drawingml/2006/main">
                  <a:graphicData uri="http://schemas.microsoft.com/office/word/2010/wordprocessingShape">
                    <wps:wsp>
                      <wps:cNvSpPr/>
                      <wps:spPr>
                        <a:xfrm>
                          <a:off x="0" y="0"/>
                          <a:ext cx="1838325" cy="9525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8783769" w14:textId="2A3438D0" w:rsidR="00712063" w:rsidRPr="00914651" w:rsidRDefault="00712063" w:rsidP="007C39BB">
                            <w:pPr>
                              <w:jc w:val="center"/>
                              <w:rPr>
                                <w:lang w:val="es-CO"/>
                                <w14:textOutline w14:w="9525" w14:cap="rnd" w14:cmpd="sng" w14:algn="ctr">
                                  <w14:solidFill>
                                    <w14:srgbClr w14:val="000000"/>
                                  </w14:solidFill>
                                  <w14:prstDash w14:val="solid"/>
                                  <w14:bevel/>
                                </w14:textOutline>
                              </w:rPr>
                            </w:pPr>
                            <w:r>
                              <w:rPr>
                                <w:color w:val="000000" w:themeColor="text1"/>
                                <w:lang w:val="es-CO"/>
                              </w:rPr>
                              <w:t>Omisión o retraso injustificado al tomar medidas frente a los traslados viciados de ineficacia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44 Rectángulo" o:spid="_x0000_s1050" style="position:absolute;left:0;text-align:left;margin-left:200.85pt;margin-top:-.2pt;width:144.75pt;height:7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" filled="f" strokecolor="black [3213]" strokeweight="1pt">
                <v:textbox>
                  <w:txbxContent>
                    <w:p w14:paraId="58783769" w14:textId="2A3438D0" w:rsidR="00712063" w:rsidRPr="00914651" w:rsidRDefault="00712063" w:rsidP="007C39BB">
                      <w:pPr>
                        <w:jc w:val="center"/>
                        <w:rPr>
                          <w:lang w:val="es-CO"/>
                          <w14:textOutline w14:w="9525" w14:cap="rnd" w14:cmpd="sng" w14:algn="ctr">
                            <w14:solidFill>
                              <w14:srgbClr w14:val="000000"/>
                            </w14:solidFill>
                            <w14:prstDash w14:val="solid"/>
                            <w14:bevel/>
                          </w14:textOutline>
                        </w:rPr>
                      </w:pPr>
                      <w:r>
                        <w:rPr>
                          <w:color w:val="000000" w:themeColor="text1"/>
                          <w:lang w:val="es-CO"/>
                        </w:rPr>
                        <w:t>Omisión o retraso injustificado al tomar medidas frente a los traslados viciados de ineficacia</w:t>
                      </w:r>
                    </w:p>
                  </w:txbxContent>
                </v:textbox>
              </v:rect>
            </w:pict>
          </mc:Fallback>
        </mc:AlternateContent>
      </w:r>
      <w:r>
        <w:rPr>
          <w:bCs/>
          <w:iCs/>
          <w:noProof/>
        </w:rPr>
        <mc:AlternateContent>
          <mc:Choice Requires="wps">
            <w:drawing>
              <wp:anchor distT="0" distB="0" distL="114300" distR="114300" simplePos="0" relativeHeight="251703296" behindDoc="0" locked="0" layoutInCell="1" allowOverlap="1" wp14:anchorId="7368EC59" wp14:editId="28E7BCAC">
                <wp:simplePos x="0" y="0"/>
                <wp:positionH relativeFrom="column">
                  <wp:posOffset>1865630</wp:posOffset>
                </wp:positionH>
                <wp:positionV relativeFrom="paragraph">
                  <wp:posOffset>217805</wp:posOffset>
                </wp:positionV>
                <wp:extent cx="685165" cy="0"/>
                <wp:effectExtent l="0" t="0" r="19685" b="19050"/>
                <wp:wrapNone/>
                <wp:docPr id="47" name="47 Conector recto"/>
                <wp:cNvGraphicFramePr/>
                <a:graphic xmlns:a="http://schemas.openxmlformats.org/drawingml/2006/main">
                  <a:graphicData uri="http://schemas.microsoft.com/office/word/2010/wordprocessingShape">
                    <wps:wsp>
                      <wps:cNvCnPr/>
                      <wps:spPr>
                        <a:xfrm flipH="1">
                          <a:off x="0" y="0"/>
                          <a:ext cx="68516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F86964A" id="47 Conector recto" o:spid="_x0000_s1026" style="position:absolute;flip:x;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6.9pt,17.15pt" to="200.85pt,1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" strokecolor="black [3200]" strokeweight=".5pt">
                <v:stroke joinstyle="miter"/>
              </v:line>
            </w:pict>
          </mc:Fallback>
        </mc:AlternateContent>
      </w:r>
      <w:r>
        <w:rPr>
          <w:bCs/>
          <w:iCs/>
          <w:noProof/>
        </w:rPr>
        <mc:AlternateContent>
          <mc:Choice Requires="wps">
            <w:drawing>
              <wp:anchor distT="0" distB="0" distL="114300" distR="114300" simplePos="0" relativeHeight="251712512" behindDoc="0" locked="0" layoutInCell="1" allowOverlap="1" wp14:anchorId="01A9CB7F" wp14:editId="41598411">
                <wp:simplePos x="0" y="0"/>
                <wp:positionH relativeFrom="column">
                  <wp:posOffset>160655</wp:posOffset>
                </wp:positionH>
                <wp:positionV relativeFrom="paragraph">
                  <wp:posOffset>74930</wp:posOffset>
                </wp:positionV>
                <wp:extent cx="1704975" cy="266700"/>
                <wp:effectExtent l="0" t="0" r="28575" b="19050"/>
                <wp:wrapNone/>
                <wp:docPr id="37" name="37 Rectángulo"/>
                <wp:cNvGraphicFramePr/>
                <a:graphic xmlns:a="http://schemas.openxmlformats.org/drawingml/2006/main">
                  <a:graphicData uri="http://schemas.microsoft.com/office/word/2010/wordprocessingShape">
                    <wps:wsp>
                      <wps:cNvSpPr/>
                      <wps:spPr>
                        <a:xfrm>
                          <a:off x="0" y="0"/>
                          <a:ext cx="1704975" cy="2667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8CA6051" w14:textId="5D53FE39" w:rsidR="00712063" w:rsidRPr="00A532A8" w:rsidRDefault="00712063" w:rsidP="007C39BB">
                            <w:pPr>
                              <w:jc w:val="center"/>
                              <w:rPr>
                                <w:b/>
                                <w:color w:val="000000" w:themeColor="text1"/>
                                <w:lang w:val="es-CO"/>
                              </w:rPr>
                            </w:pPr>
                            <w:r>
                              <w:rPr>
                                <w:b/>
                                <w:color w:val="000000" w:themeColor="text1"/>
                                <w:lang w:val="es-CO"/>
                              </w:rPr>
                              <w:t>Falla en el servicio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37 Rectángulo" o:spid="_x0000_s1051" style="position:absolute;left:0;text-align:left;margin-left:12.65pt;margin-top:5.9pt;width:134.25pt;height:21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" filled="f" strokecolor="black [3213]" strokeweight="1pt">
                <v:textbox>
                  <w:txbxContent>
                    <w:p w14:paraId="58CA6051" w14:textId="5D53FE39" w:rsidR="00712063" w:rsidRPr="00A532A8" w:rsidRDefault="00712063" w:rsidP="007C39BB">
                      <w:pPr>
                        <w:jc w:val="center"/>
                        <w:rPr>
                          <w:b/>
                          <w:color w:val="000000" w:themeColor="text1"/>
                          <w:lang w:val="es-CO"/>
                        </w:rPr>
                      </w:pPr>
                      <w:r>
                        <w:rPr>
                          <w:b/>
                          <w:color w:val="000000" w:themeColor="text1"/>
                          <w:lang w:val="es-CO"/>
                        </w:rPr>
                        <w:t>Falla en el servicio</w:t>
                      </w:r>
                    </w:p>
                  </w:txbxContent>
                </v:textbox>
              </v:rect>
            </w:pict>
          </mc:Fallback>
        </mc:AlternateContent>
      </w:r>
      <w:r w:rsidR="00274EEF">
        <w:rPr>
          <w:bCs/>
          <w:iCs/>
        </w:rPr>
        <w:tab/>
      </w:r>
    </w:p>
    <w:p w14:paraId="0D7B4889" w14:textId="7F27333F" w:rsidR="007C39BB" w:rsidRDefault="00E275CE" w:rsidP="007C39BB">
      <w:pPr>
        <w:spacing w:line="480" w:lineRule="auto"/>
        <w:ind w:firstLine="709"/>
        <w:rPr>
          <w:bCs/>
          <w:iCs/>
        </w:rPr>
      </w:pPr>
      <w:r>
        <w:rPr>
          <w:bCs/>
          <w:iCs/>
          <w:noProof/>
        </w:rPr>
        <mc:AlternateContent>
          <mc:Choice Requires="wps">
            <w:drawing>
              <wp:anchor distT="0" distB="0" distL="114300" distR="114300" simplePos="0" relativeHeight="251705344" behindDoc="0" locked="0" layoutInCell="1" allowOverlap="1" wp14:anchorId="44F64418" wp14:editId="76C07B28">
                <wp:simplePos x="0" y="0"/>
                <wp:positionH relativeFrom="column">
                  <wp:posOffset>1865630</wp:posOffset>
                </wp:positionH>
                <wp:positionV relativeFrom="paragraph">
                  <wp:posOffset>295910</wp:posOffset>
                </wp:positionV>
                <wp:extent cx="685800" cy="457200"/>
                <wp:effectExtent l="0" t="0" r="19050" b="19050"/>
                <wp:wrapNone/>
                <wp:docPr id="51" name="51 Conector recto"/>
                <wp:cNvGraphicFramePr/>
                <a:graphic xmlns:a="http://schemas.openxmlformats.org/drawingml/2006/main">
                  <a:graphicData uri="http://schemas.microsoft.com/office/word/2010/wordprocessingShape">
                    <wps:wsp>
                      <wps:cNvCnPr/>
                      <wps:spPr>
                        <a:xfrm flipH="1">
                          <a:off x="0" y="0"/>
                          <a:ext cx="685800" cy="4572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D48B0D3" id="51 Conector recto" o:spid="_x0000_s1026" style="position:absolute;flip:x;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6.9pt,23.3pt" to="200.9pt,5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" strokecolor="black [3200]" strokeweight=".5pt">
                <v:stroke joinstyle="miter"/>
              </v:line>
            </w:pict>
          </mc:Fallback>
        </mc:AlternateContent>
      </w:r>
    </w:p>
    <w:p w14:paraId="4D9A6B30" w14:textId="3A8CA8C6" w:rsidR="007C39BB" w:rsidRDefault="00E275CE" w:rsidP="007C39BB">
      <w:pPr>
        <w:spacing w:line="480" w:lineRule="auto"/>
        <w:ind w:firstLine="709"/>
        <w:rPr>
          <w:bCs/>
          <w:iCs/>
        </w:rPr>
      </w:pPr>
      <w:r>
        <w:rPr>
          <w:bCs/>
          <w:iCs/>
          <w:noProof/>
        </w:rPr>
        <mc:AlternateContent>
          <mc:Choice Requires="wps">
            <w:drawing>
              <wp:anchor distT="0" distB="0" distL="114300" distR="114300" simplePos="0" relativeHeight="251710464" behindDoc="0" locked="0" layoutInCell="1" allowOverlap="1" wp14:anchorId="6FB5AA6C" wp14:editId="7129A5E6">
                <wp:simplePos x="0" y="0"/>
                <wp:positionH relativeFrom="column">
                  <wp:posOffset>74930</wp:posOffset>
                </wp:positionH>
                <wp:positionV relativeFrom="paragraph">
                  <wp:posOffset>69215</wp:posOffset>
                </wp:positionV>
                <wp:extent cx="1790700" cy="600075"/>
                <wp:effectExtent l="0" t="0" r="19050" b="28575"/>
                <wp:wrapNone/>
                <wp:docPr id="46" name="46 Rectángulo"/>
                <wp:cNvGraphicFramePr/>
                <a:graphic xmlns:a="http://schemas.openxmlformats.org/drawingml/2006/main">
                  <a:graphicData uri="http://schemas.microsoft.com/office/word/2010/wordprocessingShape">
                    <wps:wsp>
                      <wps:cNvSpPr/>
                      <wps:spPr>
                        <a:xfrm>
                          <a:off x="0" y="0"/>
                          <a:ext cx="1790700" cy="60007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634B3BD" w14:textId="46264459" w:rsidR="00712063" w:rsidRPr="00914651" w:rsidRDefault="00712063" w:rsidP="007C39BB">
                            <w:pPr>
                              <w:jc w:val="center"/>
                              <w:rPr>
                                <w:lang w:val="es-CO"/>
                                <w14:textOutline w14:w="9525" w14:cap="rnd" w14:cmpd="sng" w14:algn="ctr">
                                  <w14:solidFill>
                                    <w14:srgbClr w14:val="000000"/>
                                  </w14:solidFill>
                                  <w14:prstDash w14:val="solid"/>
                                  <w14:bevel/>
                                </w14:textOutline>
                              </w:rPr>
                            </w:pPr>
                            <w:r>
                              <w:rPr>
                                <w:color w:val="000000" w:themeColor="text1"/>
                                <w:lang w:val="es-CO"/>
                              </w:rPr>
                              <w:t>Indemnización a título de reparación directa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46 Rectángulo" o:spid="_x0000_s1052" style="position:absolute;left:0;text-align:left;margin-left:5.9pt;margin-top:5.45pt;width:141pt;height:47.2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" filled="f" strokecolor="black [3213]" strokeweight="1pt">
                <v:textbox>
                  <w:txbxContent>
                    <w:p w14:paraId="7634B3BD" w14:textId="46264459" w:rsidR="00712063" w:rsidRPr="00914651" w:rsidRDefault="00712063" w:rsidP="007C39BB">
                      <w:pPr>
                        <w:jc w:val="center"/>
                        <w:rPr>
                          <w:lang w:val="es-CO"/>
                          <w14:textOutline w14:w="9525" w14:cap="rnd" w14:cmpd="sng" w14:algn="ctr">
                            <w14:solidFill>
                              <w14:srgbClr w14:val="000000"/>
                            </w14:solidFill>
                            <w14:prstDash w14:val="solid"/>
                            <w14:bevel/>
                          </w14:textOutline>
                        </w:rPr>
                      </w:pPr>
                      <w:r>
                        <w:rPr>
                          <w:color w:val="000000" w:themeColor="text1"/>
                          <w:lang w:val="es-CO"/>
                        </w:rPr>
                        <w:t>Indemnización a título de reparación directa</w:t>
                      </w:r>
                    </w:p>
                  </w:txbxContent>
                </v:textbox>
              </v:rect>
            </w:pict>
          </mc:Fallback>
        </mc:AlternateContent>
      </w:r>
    </w:p>
    <w:p w14:paraId="380EEBDA" w14:textId="15C17AB2" w:rsidR="007C39BB" w:rsidRDefault="007C39BB" w:rsidP="007C39BB">
      <w:pPr>
        <w:spacing w:line="480" w:lineRule="auto"/>
        <w:ind w:firstLine="709"/>
        <w:rPr>
          <w:bCs/>
          <w:iCs/>
        </w:rPr>
      </w:pPr>
    </w:p>
    <w:p w14:paraId="2F7AD4C0" w14:textId="3714A85B" w:rsidR="007C39BB" w:rsidRDefault="00E275CE" w:rsidP="007C39BB">
      <w:pPr>
        <w:spacing w:line="480" w:lineRule="auto"/>
        <w:ind w:firstLine="709"/>
        <w:rPr>
          <w:bCs/>
          <w:iCs/>
        </w:rPr>
      </w:pPr>
      <w:r>
        <w:rPr>
          <w:bCs/>
          <w:iCs/>
          <w:noProof/>
        </w:rPr>
        <mc:AlternateContent>
          <mc:Choice Requires="wps">
            <w:drawing>
              <wp:anchor distT="0" distB="0" distL="114300" distR="114300" simplePos="0" relativeHeight="251717632" behindDoc="0" locked="0" layoutInCell="1" allowOverlap="1" wp14:anchorId="39BAB3A3" wp14:editId="3D588048">
                <wp:simplePos x="0" y="0"/>
                <wp:positionH relativeFrom="column">
                  <wp:posOffset>-48895</wp:posOffset>
                </wp:positionH>
                <wp:positionV relativeFrom="paragraph">
                  <wp:posOffset>245110</wp:posOffset>
                </wp:positionV>
                <wp:extent cx="5314950" cy="447675"/>
                <wp:effectExtent l="0" t="0" r="19050" b="28575"/>
                <wp:wrapNone/>
                <wp:docPr id="53" name="53 Rectángulo"/>
                <wp:cNvGraphicFramePr/>
                <a:graphic xmlns:a="http://schemas.openxmlformats.org/drawingml/2006/main">
                  <a:graphicData uri="http://schemas.microsoft.com/office/word/2010/wordprocessingShape">
                    <wps:wsp>
                      <wps:cNvSpPr/>
                      <wps:spPr>
                        <a:xfrm>
                          <a:off x="0" y="0"/>
                          <a:ext cx="5314950" cy="447675"/>
                        </a:xfrm>
                        <a:prstGeom prst="rect">
                          <a:avLst/>
                        </a:prstGeom>
                        <a:no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6B4F47D" w14:textId="073E2F03" w:rsidR="00712063" w:rsidRPr="00BF0F02" w:rsidRDefault="00712063" w:rsidP="007C39BB">
                            <w:pPr>
                              <w:rPr>
                                <w:i/>
                                <w:sz w:val="20"/>
                                <w:lang w:val="es-CO"/>
                                <w14:textOutline w14:w="9525" w14:cap="rnd" w14:cmpd="sng" w14:algn="ctr">
                                  <w14:solidFill>
                                    <w14:srgbClr w14:val="000000"/>
                                  </w14:solidFill>
                                  <w14:prstDash w14:val="solid"/>
                                  <w14:bevel/>
                                </w14:textOutline>
                              </w:rPr>
                            </w:pPr>
                            <w:r>
                              <w:rPr>
                                <w:i/>
                                <w:color w:val="000000" w:themeColor="text1"/>
                                <w:sz w:val="20"/>
                                <w:lang w:val="es-CO"/>
                              </w:rPr>
                              <w:t xml:space="preserve">Figura 2. Síntesis de la responsabilidad de la Superintendencia Financiera de </w:t>
                            </w:r>
                            <w:bookmarkStart w:id="18" w:name="Figura2"/>
                            <w:bookmarkEnd w:id="18"/>
                            <w:r>
                              <w:rPr>
                                <w:i/>
                                <w:color w:val="000000" w:themeColor="text1"/>
                                <w:sz w:val="20"/>
                                <w:lang w:val="es-CO"/>
                              </w:rPr>
                              <w:t>Colombia por falla en el servicio.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53 Rectángulo" o:spid="_x0000_s1053" style="position:absolute;left:0;text-align:left;margin-left:-3.85pt;margin-top:19.3pt;width:418.5pt;height:35.2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" filled="f" strokecolor="white [3212]" strokeweight="1pt">
                <v:textbox>
                  <w:txbxContent>
                    <w:p w14:paraId="06B4F47D" w14:textId="073E2F03" w:rsidR="00712063" w:rsidRPr="00BF0F02" w:rsidRDefault="00712063" w:rsidP="007C39BB">
                      <w:pPr>
                        <w:rPr>
                          <w:i/>
                          <w:sz w:val="20"/>
                          <w:lang w:val="es-CO"/>
                          <w14:textOutline w14:w="9525" w14:cap="rnd" w14:cmpd="sng" w14:algn="ctr">
                            <w14:solidFill>
                              <w14:srgbClr w14:val="000000"/>
                            </w14:solidFill>
                            <w14:prstDash w14:val="solid"/>
                            <w14:bevel/>
                          </w14:textOutline>
                        </w:rPr>
                      </w:pPr>
                      <w:r>
                        <w:rPr>
                          <w:i/>
                          <w:color w:val="000000" w:themeColor="text1"/>
                          <w:sz w:val="20"/>
                          <w:lang w:val="es-CO"/>
                        </w:rPr>
                        <w:t xml:space="preserve">Figura 2. Síntesis de la responsabilidad de la Superintendencia Financiera de </w:t>
                      </w:r>
                      <w:bookmarkStart w:id="20" w:name="Figura2"/>
                      <w:bookmarkEnd w:id="20"/>
                      <w:r>
                        <w:rPr>
                          <w:i/>
                          <w:color w:val="000000" w:themeColor="text1"/>
                          <w:sz w:val="20"/>
                          <w:lang w:val="es-CO"/>
                        </w:rPr>
                        <w:t>Colombia por falla en el servicio.</w:t>
                      </w:r>
                    </w:p>
                  </w:txbxContent>
                </v:textbox>
              </v:rect>
            </w:pict>
          </mc:Fallback>
        </mc:AlternateContent>
      </w:r>
    </w:p>
    <w:p w14:paraId="16409954" w14:textId="68FC6DFE" w:rsidR="007C39BB" w:rsidRDefault="007C39BB" w:rsidP="007C39BB">
      <w:pPr>
        <w:spacing w:line="480" w:lineRule="auto"/>
        <w:ind w:firstLine="709"/>
        <w:rPr>
          <w:bCs/>
          <w:iCs/>
        </w:rPr>
      </w:pPr>
    </w:p>
    <w:p w14:paraId="1D1F5A54" w14:textId="13107E35" w:rsidR="00ED7EE8" w:rsidRPr="009D4A85" w:rsidRDefault="00ED7EE8" w:rsidP="00ED7EE8">
      <w:pPr>
        <w:spacing w:line="480" w:lineRule="auto"/>
        <w:rPr>
          <w:b/>
          <w:lang w:val="es-CO"/>
        </w:rPr>
      </w:pPr>
      <w:bookmarkStart w:id="19" w:name="Conclusiones"/>
      <w:r w:rsidRPr="005C0503">
        <w:rPr>
          <w:b/>
          <w:lang w:val="es-CO"/>
        </w:rPr>
        <w:lastRenderedPageBreak/>
        <w:t>Conclusiones</w:t>
      </w:r>
    </w:p>
    <w:bookmarkEnd w:id="19"/>
    <w:p w14:paraId="06C8B6BE" w14:textId="25CBE7DE" w:rsidR="009D4A85" w:rsidRPr="009D4A85" w:rsidRDefault="005E1ADA" w:rsidP="009D4A85">
      <w:pPr>
        <w:spacing w:line="480" w:lineRule="auto"/>
        <w:ind w:firstLine="709"/>
        <w:rPr>
          <w:lang w:val="es-CO"/>
        </w:rPr>
      </w:pPr>
      <w:r w:rsidRPr="009D4A85">
        <w:rPr>
          <w:lang w:val="es-CO"/>
        </w:rPr>
        <w:t>De lo</w:t>
      </w:r>
      <w:r w:rsidR="007760F7" w:rsidRPr="009D4A85">
        <w:rPr>
          <w:lang w:val="es-CO"/>
        </w:rPr>
        <w:t xml:space="preserve"> anteriormente expuesto puede concluirse </w:t>
      </w:r>
      <w:r w:rsidR="008449D6">
        <w:rPr>
          <w:lang w:val="es-CO"/>
        </w:rPr>
        <w:t>lo siguiente:</w:t>
      </w:r>
      <w:r w:rsidR="007760F7" w:rsidRPr="009D4A85">
        <w:rPr>
          <w:lang w:val="es-CO"/>
        </w:rPr>
        <w:t xml:space="preserve"> </w:t>
      </w:r>
    </w:p>
    <w:p w14:paraId="236919FA" w14:textId="70F30EB1" w:rsidR="009D4A85" w:rsidRPr="009D4A85" w:rsidRDefault="009D4A85" w:rsidP="008449D6">
      <w:pPr>
        <w:pStyle w:val="Prrafodelista"/>
        <w:numPr>
          <w:ilvl w:val="0"/>
          <w:numId w:val="23"/>
        </w:numPr>
        <w:spacing w:line="480" w:lineRule="auto"/>
        <w:ind w:left="709"/>
        <w:rPr>
          <w:rFonts w:ascii="Times New Roman" w:hAnsi="Times New Roman" w:cs="Times New Roman"/>
          <w:sz w:val="24"/>
          <w:szCs w:val="24"/>
          <w:lang w:eastAsia="es-ES_tradnl"/>
        </w:rPr>
      </w:pPr>
      <w:r w:rsidRPr="009D4A85">
        <w:rPr>
          <w:rFonts w:ascii="Times New Roman" w:hAnsi="Times New Roman" w:cs="Times New Roman"/>
          <w:sz w:val="24"/>
          <w:szCs w:val="24"/>
        </w:rPr>
        <w:t>L</w:t>
      </w:r>
      <w:r w:rsidR="00723330" w:rsidRPr="009D4A85">
        <w:rPr>
          <w:rFonts w:ascii="Times New Roman" w:hAnsi="Times New Roman" w:cs="Times New Roman"/>
          <w:sz w:val="24"/>
          <w:szCs w:val="24"/>
        </w:rPr>
        <w:t>a falta al deber de información por parte de los promotores de las AFP al momento de realizar el traslado,</w:t>
      </w:r>
      <w:r w:rsidRPr="009D4A85">
        <w:rPr>
          <w:rFonts w:ascii="Times New Roman" w:hAnsi="Times New Roman" w:cs="Times New Roman"/>
          <w:sz w:val="24"/>
          <w:szCs w:val="24"/>
        </w:rPr>
        <w:t xml:space="preserve"> vicia a este de ineficacia</w:t>
      </w:r>
      <w:r w:rsidR="0045690A">
        <w:rPr>
          <w:rFonts w:ascii="Times New Roman" w:hAnsi="Times New Roman" w:cs="Times New Roman"/>
          <w:sz w:val="24"/>
          <w:szCs w:val="24"/>
        </w:rPr>
        <w:t>.</w:t>
      </w:r>
    </w:p>
    <w:p w14:paraId="721F1B4A" w14:textId="510D7B40" w:rsidR="009D4A85" w:rsidRPr="005C0503" w:rsidRDefault="009D4A85" w:rsidP="008449D6">
      <w:pPr>
        <w:pStyle w:val="Prrafodelista"/>
        <w:numPr>
          <w:ilvl w:val="0"/>
          <w:numId w:val="23"/>
        </w:numPr>
        <w:spacing w:line="480" w:lineRule="auto"/>
        <w:ind w:left="709"/>
        <w:rPr>
          <w:rFonts w:ascii="Times New Roman" w:hAnsi="Times New Roman" w:cs="Times New Roman"/>
          <w:sz w:val="24"/>
          <w:szCs w:val="24"/>
          <w:lang w:eastAsia="es-ES_tradnl"/>
        </w:rPr>
      </w:pPr>
      <w:r w:rsidRPr="009D4A85">
        <w:rPr>
          <w:rFonts w:ascii="Times New Roman" w:hAnsi="Times New Roman" w:cs="Times New Roman"/>
          <w:sz w:val="24"/>
          <w:szCs w:val="24"/>
        </w:rPr>
        <w:t>U</w:t>
      </w:r>
      <w:r w:rsidR="00723330" w:rsidRPr="009D4A85">
        <w:rPr>
          <w:rFonts w:ascii="Times New Roman" w:hAnsi="Times New Roman" w:cs="Times New Roman"/>
          <w:sz w:val="24"/>
          <w:szCs w:val="24"/>
        </w:rPr>
        <w:t>na vez se declara la ineficac</w:t>
      </w:r>
      <w:r w:rsidRPr="009D4A85">
        <w:rPr>
          <w:rFonts w:ascii="Times New Roman" w:hAnsi="Times New Roman" w:cs="Times New Roman"/>
          <w:sz w:val="24"/>
          <w:szCs w:val="24"/>
        </w:rPr>
        <w:t xml:space="preserve">ia, las AFP tienen el deber </w:t>
      </w:r>
      <w:r w:rsidRPr="005C0503">
        <w:rPr>
          <w:rFonts w:ascii="Times New Roman" w:hAnsi="Times New Roman" w:cs="Times New Roman"/>
          <w:sz w:val="24"/>
          <w:szCs w:val="24"/>
        </w:rPr>
        <w:t>de retornar</w:t>
      </w:r>
      <w:r w:rsidR="00723330" w:rsidRPr="005C0503">
        <w:rPr>
          <w:rFonts w:ascii="Times New Roman" w:hAnsi="Times New Roman" w:cs="Times New Roman"/>
          <w:sz w:val="24"/>
          <w:szCs w:val="24"/>
        </w:rPr>
        <w:t xml:space="preserve"> </w:t>
      </w:r>
      <w:r w:rsidR="00B445E4" w:rsidRPr="005C0503">
        <w:rPr>
          <w:rFonts w:ascii="Times New Roman" w:hAnsi="Times New Roman" w:cs="Times New Roman"/>
          <w:sz w:val="24"/>
          <w:szCs w:val="24"/>
        </w:rPr>
        <w:t>a</w:t>
      </w:r>
      <w:r w:rsidRPr="005C0503">
        <w:rPr>
          <w:rFonts w:ascii="Times New Roman" w:hAnsi="Times New Roman" w:cs="Times New Roman"/>
          <w:sz w:val="24"/>
          <w:szCs w:val="24"/>
        </w:rPr>
        <w:t xml:space="preserve">l RPM, actualmente en cabeza de </w:t>
      </w:r>
      <w:r w:rsidR="005C0503" w:rsidRPr="005C0503">
        <w:rPr>
          <w:rFonts w:ascii="Times New Roman" w:hAnsi="Times New Roman" w:cs="Times New Roman"/>
          <w:sz w:val="24"/>
          <w:szCs w:val="24"/>
        </w:rPr>
        <w:t>Colpensiones</w:t>
      </w:r>
      <w:r w:rsidRPr="005C0503">
        <w:rPr>
          <w:rFonts w:ascii="Times New Roman" w:hAnsi="Times New Roman" w:cs="Times New Roman"/>
          <w:sz w:val="24"/>
          <w:szCs w:val="24"/>
        </w:rPr>
        <w:t>,</w:t>
      </w:r>
      <w:r w:rsidR="00B445E4" w:rsidRPr="005C0503">
        <w:rPr>
          <w:rFonts w:ascii="Times New Roman" w:hAnsi="Times New Roman" w:cs="Times New Roman"/>
          <w:sz w:val="24"/>
          <w:szCs w:val="24"/>
        </w:rPr>
        <w:t xml:space="preserve"> </w:t>
      </w:r>
      <w:r w:rsidR="00723330" w:rsidRPr="005C0503">
        <w:rPr>
          <w:rFonts w:ascii="Times New Roman" w:hAnsi="Times New Roman" w:cs="Times New Roman"/>
          <w:sz w:val="24"/>
          <w:szCs w:val="24"/>
        </w:rPr>
        <w:t xml:space="preserve">la totalidad </w:t>
      </w:r>
      <w:r w:rsidR="00B445E4" w:rsidRPr="005C0503">
        <w:rPr>
          <w:rFonts w:ascii="Times New Roman" w:hAnsi="Times New Roman" w:cs="Times New Roman"/>
          <w:bCs/>
          <w:iCs/>
          <w:sz w:val="24"/>
          <w:szCs w:val="24"/>
        </w:rPr>
        <w:t>de los aporte</w:t>
      </w:r>
      <w:r w:rsidRPr="005C0503">
        <w:rPr>
          <w:rFonts w:ascii="Times New Roman" w:hAnsi="Times New Roman" w:cs="Times New Roman"/>
          <w:bCs/>
          <w:iCs/>
          <w:sz w:val="24"/>
          <w:szCs w:val="24"/>
        </w:rPr>
        <w:t xml:space="preserve">s </w:t>
      </w:r>
      <w:r w:rsidR="0045690A">
        <w:rPr>
          <w:rFonts w:ascii="Times New Roman" w:hAnsi="Times New Roman" w:cs="Times New Roman"/>
          <w:bCs/>
          <w:iCs/>
          <w:sz w:val="24"/>
          <w:szCs w:val="24"/>
        </w:rPr>
        <w:t xml:space="preserve">y demás dineros por rendimientos, frutos, comisiones y gastos de administración </w:t>
      </w:r>
      <w:r w:rsidRPr="005C0503">
        <w:rPr>
          <w:rFonts w:ascii="Times New Roman" w:hAnsi="Times New Roman" w:cs="Times New Roman"/>
          <w:bCs/>
          <w:iCs/>
          <w:sz w:val="24"/>
          <w:szCs w:val="24"/>
        </w:rPr>
        <w:t>efectuados por el afiliado.</w:t>
      </w:r>
    </w:p>
    <w:p w14:paraId="0A7D0C23" w14:textId="21D1211B" w:rsidR="009D4A85" w:rsidRPr="009D4A85" w:rsidRDefault="009D4A85" w:rsidP="008449D6">
      <w:pPr>
        <w:pStyle w:val="Prrafodelista"/>
        <w:numPr>
          <w:ilvl w:val="0"/>
          <w:numId w:val="23"/>
        </w:numPr>
        <w:spacing w:line="480" w:lineRule="auto"/>
        <w:ind w:left="709"/>
        <w:rPr>
          <w:rFonts w:ascii="Times New Roman" w:hAnsi="Times New Roman" w:cs="Times New Roman"/>
          <w:sz w:val="24"/>
          <w:szCs w:val="24"/>
          <w:lang w:eastAsia="es-ES_tradnl"/>
        </w:rPr>
      </w:pPr>
      <w:r w:rsidRPr="009D4A85">
        <w:rPr>
          <w:rFonts w:ascii="Times New Roman" w:hAnsi="Times New Roman" w:cs="Times New Roman"/>
          <w:sz w:val="24"/>
          <w:szCs w:val="24"/>
        </w:rPr>
        <w:t>L</w:t>
      </w:r>
      <w:r w:rsidR="007760F7" w:rsidRPr="009D4A85">
        <w:rPr>
          <w:rFonts w:ascii="Times New Roman" w:hAnsi="Times New Roman" w:cs="Times New Roman"/>
          <w:sz w:val="24"/>
          <w:szCs w:val="24"/>
        </w:rPr>
        <w:t>a mera ineficacia del traslado no logra una reparación total de los perjuicios causados por el incumplimiento al deber de info</w:t>
      </w:r>
      <w:r w:rsidRPr="009D4A85">
        <w:rPr>
          <w:rFonts w:ascii="Times New Roman" w:hAnsi="Times New Roman" w:cs="Times New Roman"/>
          <w:sz w:val="24"/>
          <w:szCs w:val="24"/>
        </w:rPr>
        <w:t>rmación por parte de las AFP</w:t>
      </w:r>
      <w:r w:rsidR="00C40A78">
        <w:rPr>
          <w:rFonts w:ascii="Times New Roman" w:hAnsi="Times New Roman" w:cs="Times New Roman"/>
          <w:sz w:val="24"/>
          <w:szCs w:val="24"/>
        </w:rPr>
        <w:t xml:space="preserve"> (especialmente, los perjuicios extrapatrimoniales)</w:t>
      </w:r>
      <w:r w:rsidRPr="009D4A85">
        <w:rPr>
          <w:rFonts w:ascii="Times New Roman" w:hAnsi="Times New Roman" w:cs="Times New Roman"/>
          <w:sz w:val="24"/>
          <w:szCs w:val="24"/>
        </w:rPr>
        <w:t>.</w:t>
      </w:r>
    </w:p>
    <w:p w14:paraId="5E59DEF8" w14:textId="77777777" w:rsidR="009D4A85" w:rsidRPr="009D4A85" w:rsidRDefault="009D4A85" w:rsidP="008449D6">
      <w:pPr>
        <w:pStyle w:val="Prrafodelista"/>
        <w:numPr>
          <w:ilvl w:val="0"/>
          <w:numId w:val="23"/>
        </w:numPr>
        <w:spacing w:line="480" w:lineRule="auto"/>
        <w:ind w:left="709"/>
        <w:rPr>
          <w:rFonts w:ascii="Times New Roman" w:hAnsi="Times New Roman" w:cs="Times New Roman"/>
          <w:sz w:val="24"/>
          <w:szCs w:val="24"/>
          <w:lang w:eastAsia="es-ES_tradnl"/>
        </w:rPr>
      </w:pPr>
      <w:r w:rsidRPr="009D4A85">
        <w:rPr>
          <w:rFonts w:ascii="Times New Roman" w:hAnsi="Times New Roman" w:cs="Times New Roman"/>
          <w:sz w:val="24"/>
          <w:szCs w:val="24"/>
        </w:rPr>
        <w:t>L</w:t>
      </w:r>
      <w:r w:rsidR="007760F7" w:rsidRPr="009D4A85">
        <w:rPr>
          <w:rFonts w:ascii="Times New Roman" w:hAnsi="Times New Roman" w:cs="Times New Roman"/>
          <w:sz w:val="24"/>
          <w:szCs w:val="24"/>
        </w:rPr>
        <w:t xml:space="preserve">a actuación de la Superintendencia de Colombia, respecto al tema de la afiliación con violación a dicho deber por parte de las AFP, ha presentado un retardo injustificado que configura una verdadera falla en el servicio. </w:t>
      </w:r>
    </w:p>
    <w:p w14:paraId="29CBF7E1" w14:textId="38CBC069" w:rsidR="005E1ADA" w:rsidRPr="009D4A85" w:rsidRDefault="007760F7" w:rsidP="005C0503">
      <w:pPr>
        <w:spacing w:line="480" w:lineRule="auto"/>
        <w:ind w:firstLine="709"/>
        <w:rPr>
          <w:lang w:val="es-CO"/>
        </w:rPr>
      </w:pPr>
      <w:r w:rsidRPr="009D4A85">
        <w:t xml:space="preserve">Dichos puntos se </w:t>
      </w:r>
      <w:r w:rsidRPr="009D4A85">
        <w:rPr>
          <w:lang w:val="es-ES"/>
        </w:rPr>
        <w:t>explican a continuación:</w:t>
      </w:r>
    </w:p>
    <w:p w14:paraId="40B172DC" w14:textId="064BB2FA" w:rsidR="00FB2509" w:rsidRDefault="00FB2509" w:rsidP="007760F7">
      <w:pPr>
        <w:pStyle w:val="Prrafodelista"/>
        <w:numPr>
          <w:ilvl w:val="0"/>
          <w:numId w:val="21"/>
        </w:numPr>
        <w:spacing w:line="480" w:lineRule="auto"/>
        <w:ind w:left="714" w:hanging="357"/>
        <w:rPr>
          <w:rFonts w:ascii="Times New Roman" w:hAnsi="Times New Roman" w:cs="Times New Roman"/>
          <w:sz w:val="24"/>
          <w:lang w:val="es-ES"/>
        </w:rPr>
      </w:pPr>
      <w:r>
        <w:rPr>
          <w:rFonts w:ascii="Times New Roman" w:hAnsi="Times New Roman" w:cs="Times New Roman"/>
          <w:sz w:val="24"/>
          <w:lang w:val="es-ES"/>
        </w:rPr>
        <w:t xml:space="preserve">Primeramente, es forzoso concluir que el incumplimiento al deber de información que tienen las AFP, a través de sus promotores o asesores, para con los afiliados al momento de realizar </w:t>
      </w:r>
      <w:r w:rsidR="009D4A85" w:rsidRPr="009D4A85">
        <w:rPr>
          <w:rFonts w:ascii="Times New Roman" w:hAnsi="Times New Roman" w:cs="Times New Roman"/>
          <w:sz w:val="24"/>
          <w:lang w:val="es-ES"/>
        </w:rPr>
        <w:t xml:space="preserve">la afiliación o </w:t>
      </w:r>
      <w:r w:rsidRPr="009D4A85">
        <w:rPr>
          <w:rFonts w:ascii="Times New Roman" w:hAnsi="Times New Roman" w:cs="Times New Roman"/>
          <w:sz w:val="24"/>
          <w:lang w:val="es-ES"/>
        </w:rPr>
        <w:t>el traslado</w:t>
      </w:r>
      <w:r w:rsidR="009D4A85" w:rsidRPr="009D4A85">
        <w:rPr>
          <w:rFonts w:ascii="Times New Roman" w:hAnsi="Times New Roman" w:cs="Times New Roman"/>
          <w:sz w:val="24"/>
          <w:lang w:val="es-ES"/>
        </w:rPr>
        <w:t>,</w:t>
      </w:r>
      <w:r w:rsidR="009D4A85">
        <w:rPr>
          <w:rFonts w:ascii="Times New Roman" w:hAnsi="Times New Roman" w:cs="Times New Roman"/>
          <w:sz w:val="24"/>
          <w:lang w:val="es-ES"/>
        </w:rPr>
        <w:t xml:space="preserve"> acarrea </w:t>
      </w:r>
      <w:r>
        <w:rPr>
          <w:rFonts w:ascii="Times New Roman" w:hAnsi="Times New Roman" w:cs="Times New Roman"/>
          <w:sz w:val="24"/>
          <w:lang w:val="es-ES"/>
        </w:rPr>
        <w:t>la ineficacia de dicho acto. Así, la jurisprudencia ha resaltado la inversión de la carga de la prueba en estos casos, quedando en cabeza de las AFP demostrar que se les brindó información suficiente</w:t>
      </w:r>
      <w:r w:rsidR="009D4A85">
        <w:rPr>
          <w:rFonts w:ascii="Times New Roman" w:hAnsi="Times New Roman" w:cs="Times New Roman"/>
          <w:sz w:val="24"/>
          <w:lang w:val="es-ES"/>
        </w:rPr>
        <w:t xml:space="preserve">, clara y oportuna </w:t>
      </w:r>
      <w:r w:rsidR="00A25F71">
        <w:rPr>
          <w:rFonts w:ascii="Times New Roman" w:hAnsi="Times New Roman" w:cs="Times New Roman"/>
          <w:sz w:val="24"/>
          <w:lang w:val="es-ES"/>
        </w:rPr>
        <w:t xml:space="preserve">a los afiliados, en los que se explica el alcance del traslado, tanto en sus efectos positivos como </w:t>
      </w:r>
      <w:r w:rsidR="00A25F71">
        <w:rPr>
          <w:rFonts w:ascii="Times New Roman" w:hAnsi="Times New Roman" w:cs="Times New Roman"/>
          <w:sz w:val="24"/>
          <w:lang w:val="es-ES"/>
        </w:rPr>
        <w:lastRenderedPageBreak/>
        <w:t>los negativos, atendiendo cada caso en particular y siempre en atención a la relación asimétrica entre los afiliados y los asesores.</w:t>
      </w:r>
      <w:r>
        <w:rPr>
          <w:rFonts w:ascii="Times New Roman" w:hAnsi="Times New Roman" w:cs="Times New Roman"/>
          <w:sz w:val="24"/>
          <w:lang w:val="es-ES"/>
        </w:rPr>
        <w:t xml:space="preserve"> </w:t>
      </w:r>
    </w:p>
    <w:p w14:paraId="6C8A1374" w14:textId="3125E3C5" w:rsidR="00A25F71" w:rsidRPr="00FB2509" w:rsidRDefault="00A25F71" w:rsidP="007760F7">
      <w:pPr>
        <w:pStyle w:val="Prrafodelista"/>
        <w:numPr>
          <w:ilvl w:val="0"/>
          <w:numId w:val="21"/>
        </w:numPr>
        <w:spacing w:line="480" w:lineRule="auto"/>
        <w:ind w:left="714" w:hanging="357"/>
        <w:rPr>
          <w:rFonts w:ascii="Times New Roman" w:hAnsi="Times New Roman" w:cs="Times New Roman"/>
          <w:sz w:val="24"/>
          <w:lang w:val="es-ES"/>
        </w:rPr>
      </w:pPr>
      <w:r>
        <w:rPr>
          <w:rFonts w:ascii="Times New Roman" w:hAnsi="Times New Roman" w:cs="Times New Roman"/>
          <w:sz w:val="24"/>
          <w:lang w:val="es-ES"/>
        </w:rPr>
        <w:t>Una vez se declar</w:t>
      </w:r>
      <w:r w:rsidR="00AC5DA6">
        <w:rPr>
          <w:rFonts w:ascii="Times New Roman" w:hAnsi="Times New Roman" w:cs="Times New Roman"/>
          <w:sz w:val="24"/>
          <w:lang w:val="es-ES"/>
        </w:rPr>
        <w:t xml:space="preserve">a la ineficacia del traslado, las AFP están obligadas a regresar </w:t>
      </w:r>
      <w:r w:rsidR="009D4A85">
        <w:rPr>
          <w:rFonts w:ascii="Times New Roman" w:hAnsi="Times New Roman" w:cs="Times New Roman"/>
          <w:sz w:val="24"/>
          <w:lang w:val="es-ES"/>
        </w:rPr>
        <w:t>la totalidad de los aportes en la cuenta</w:t>
      </w:r>
      <w:r w:rsidR="003A6AAE">
        <w:rPr>
          <w:rFonts w:ascii="Times New Roman" w:hAnsi="Times New Roman" w:cs="Times New Roman"/>
          <w:sz w:val="24"/>
          <w:lang w:val="es-ES"/>
        </w:rPr>
        <w:t xml:space="preserve"> de ahorro de individual de los afiliados a Colpensiones como administradora del RPM</w:t>
      </w:r>
      <w:r w:rsidR="00365952">
        <w:rPr>
          <w:rFonts w:ascii="Times New Roman" w:hAnsi="Times New Roman" w:cs="Times New Roman"/>
          <w:sz w:val="24"/>
          <w:lang w:val="es-ES"/>
        </w:rPr>
        <w:t>. Dicho retorno debe incluir todos los valores recibidos con motivo de la afiliación, en lo que se incluyen cotizaciones, rendimientos</w:t>
      </w:r>
      <w:r w:rsidR="009D4A85">
        <w:rPr>
          <w:rFonts w:ascii="Times New Roman" w:hAnsi="Times New Roman" w:cs="Times New Roman"/>
          <w:sz w:val="24"/>
          <w:lang w:val="es-ES"/>
        </w:rPr>
        <w:t xml:space="preserve"> financieros</w:t>
      </w:r>
      <w:r w:rsidR="00365952">
        <w:rPr>
          <w:rFonts w:ascii="Times New Roman" w:hAnsi="Times New Roman" w:cs="Times New Roman"/>
          <w:sz w:val="24"/>
          <w:lang w:val="es-ES"/>
        </w:rPr>
        <w:t>, bonos pensionales</w:t>
      </w:r>
      <w:r w:rsidR="009D4A85">
        <w:rPr>
          <w:rFonts w:ascii="Times New Roman" w:hAnsi="Times New Roman" w:cs="Times New Roman"/>
          <w:sz w:val="24"/>
          <w:lang w:val="es-ES"/>
        </w:rPr>
        <w:t>, comisiones, gastos de administración</w:t>
      </w:r>
      <w:r w:rsidR="00365952">
        <w:rPr>
          <w:rFonts w:ascii="Times New Roman" w:hAnsi="Times New Roman" w:cs="Times New Roman"/>
          <w:sz w:val="24"/>
          <w:lang w:val="es-ES"/>
        </w:rPr>
        <w:t xml:space="preserve"> y demás similares. Al ser la ineficacia imputable a la actuación de las AFP, son estas quienes deben asumir las mermas en el capital destinado a la pensión.</w:t>
      </w:r>
    </w:p>
    <w:p w14:paraId="3100A6E8" w14:textId="77777777" w:rsidR="009D4A85" w:rsidRDefault="006E0596" w:rsidP="009D4A85">
      <w:pPr>
        <w:pStyle w:val="Prrafodelista"/>
        <w:numPr>
          <w:ilvl w:val="0"/>
          <w:numId w:val="21"/>
        </w:numPr>
        <w:spacing w:line="480" w:lineRule="auto"/>
        <w:ind w:left="714" w:hanging="357"/>
        <w:rPr>
          <w:rFonts w:ascii="Times New Roman" w:hAnsi="Times New Roman" w:cs="Times New Roman"/>
          <w:sz w:val="24"/>
          <w:lang w:val="es-ES"/>
        </w:rPr>
      </w:pPr>
      <w:r w:rsidRPr="007760F7">
        <w:rPr>
          <w:rFonts w:ascii="Times New Roman" w:hAnsi="Times New Roman" w:cs="Times New Roman"/>
          <w:sz w:val="24"/>
          <w:lang w:val="es-ES"/>
        </w:rPr>
        <w:t xml:space="preserve">Puede evidenciarse que la solución histórica que la jurisprudencia de la Corte Suprema de Justicia ha implementado en los casos en que los promotores de las AFP omiten el deber de información al momento del acto jurídico de afiliación o traslado, es la declaratoria de la ineficacia, lo cual supone dejarlo sin efectos y que las cosas vuelvan a su estado anterior y, como consecuencia de ello, ordena a las AFP retornar la totalidad de los aportes, las comisiones, rendimientos financieros y las cuotas de administración. </w:t>
      </w:r>
    </w:p>
    <w:p w14:paraId="47265B49" w14:textId="497D949C" w:rsidR="00CB5479" w:rsidRDefault="006E0596" w:rsidP="005C0503">
      <w:pPr>
        <w:pStyle w:val="Prrafodelista"/>
        <w:spacing w:line="480" w:lineRule="auto"/>
        <w:ind w:left="714"/>
        <w:rPr>
          <w:rFonts w:ascii="Times New Roman" w:hAnsi="Times New Roman" w:cs="Times New Roman"/>
          <w:sz w:val="24"/>
          <w:lang w:val="es-ES"/>
        </w:rPr>
      </w:pPr>
      <w:r w:rsidRPr="009D4A85">
        <w:rPr>
          <w:rFonts w:ascii="Times New Roman" w:hAnsi="Times New Roman" w:cs="Times New Roman"/>
          <w:sz w:val="24"/>
          <w:lang w:val="es-ES"/>
        </w:rPr>
        <w:t xml:space="preserve">No obstante, dicha solución no logra reparar y compensar los daños que se derivaron de dicha omisión, por el hecho de tratarse de una vulneración a un derecho de rango constitucional como el Mínimo Vital y Móvil y la Seguridad Social. </w:t>
      </w:r>
    </w:p>
    <w:p w14:paraId="726E27BB" w14:textId="77777777" w:rsidR="00CB5479" w:rsidRDefault="006E0596" w:rsidP="005C0503">
      <w:pPr>
        <w:pStyle w:val="Prrafodelista"/>
        <w:spacing w:line="480" w:lineRule="auto"/>
        <w:ind w:left="714"/>
        <w:rPr>
          <w:rFonts w:ascii="Times New Roman" w:hAnsi="Times New Roman" w:cs="Times New Roman"/>
          <w:sz w:val="24"/>
          <w:lang w:val="es-ES"/>
        </w:rPr>
      </w:pPr>
      <w:r w:rsidRPr="00CB5479">
        <w:rPr>
          <w:rFonts w:ascii="Times New Roman" w:hAnsi="Times New Roman" w:cs="Times New Roman"/>
          <w:sz w:val="24"/>
          <w:lang w:val="es-ES"/>
        </w:rPr>
        <w:t xml:space="preserve">Además, debe precisarse que en dichas circunstancias, la mayoría de los afiliados que fueron y siguen siendo víctimas de tan preocupante situación, </w:t>
      </w:r>
      <w:r w:rsidR="00CB5479">
        <w:rPr>
          <w:rFonts w:ascii="Times New Roman" w:hAnsi="Times New Roman" w:cs="Times New Roman"/>
          <w:sz w:val="24"/>
          <w:lang w:val="es-ES"/>
        </w:rPr>
        <w:t>sufren</w:t>
      </w:r>
      <w:r w:rsidRPr="00CB5479">
        <w:rPr>
          <w:rFonts w:ascii="Times New Roman" w:hAnsi="Times New Roman" w:cs="Times New Roman"/>
          <w:sz w:val="24"/>
          <w:lang w:val="es-ES"/>
        </w:rPr>
        <w:t xml:space="preserve"> daños extrapatrimoniales, ya que, estos sucesos, tocan el fuero interno </w:t>
      </w:r>
      <w:r w:rsidRPr="00CB5479">
        <w:rPr>
          <w:rFonts w:ascii="Times New Roman" w:hAnsi="Times New Roman" w:cs="Times New Roman"/>
          <w:sz w:val="24"/>
          <w:lang w:val="es-ES"/>
        </w:rPr>
        <w:lastRenderedPageBreak/>
        <w:t xml:space="preserve">de las personas,  en sus sentimientos y emociones, pues ante la incertidumbre de su futuro pensional, son objeto de: </w:t>
      </w:r>
    </w:p>
    <w:p w14:paraId="717978B6" w14:textId="77777777" w:rsidR="00CB5479" w:rsidRDefault="00CB5479" w:rsidP="00CB5479">
      <w:pPr>
        <w:pStyle w:val="Prrafodelista"/>
        <w:numPr>
          <w:ilvl w:val="0"/>
          <w:numId w:val="24"/>
        </w:numPr>
        <w:spacing w:line="480" w:lineRule="auto"/>
        <w:rPr>
          <w:rFonts w:ascii="Times New Roman" w:hAnsi="Times New Roman" w:cs="Times New Roman"/>
          <w:sz w:val="24"/>
          <w:lang w:val="es-ES"/>
        </w:rPr>
      </w:pPr>
      <w:r>
        <w:rPr>
          <w:rFonts w:ascii="Times New Roman" w:hAnsi="Times New Roman" w:cs="Times New Roman"/>
          <w:sz w:val="24"/>
          <w:lang w:val="es-ES"/>
        </w:rPr>
        <w:t>D</w:t>
      </w:r>
      <w:r w:rsidR="006E0596" w:rsidRPr="00CB5479">
        <w:rPr>
          <w:rFonts w:ascii="Times New Roman" w:hAnsi="Times New Roman" w:cs="Times New Roman"/>
          <w:sz w:val="24"/>
          <w:lang w:val="es-ES"/>
        </w:rPr>
        <w:t>años morales como las aflicciones, perturbación del ánimo, sufrimiento, congoja, ang</w:t>
      </w:r>
      <w:r>
        <w:rPr>
          <w:rFonts w:ascii="Times New Roman" w:hAnsi="Times New Roman" w:cs="Times New Roman"/>
          <w:sz w:val="24"/>
          <w:lang w:val="es-ES"/>
        </w:rPr>
        <w:t>ustia, perturbación anímica;</w:t>
      </w:r>
    </w:p>
    <w:p w14:paraId="3C969F3A" w14:textId="77777777" w:rsidR="00CB5479" w:rsidRDefault="00CB5479" w:rsidP="00CB5479">
      <w:pPr>
        <w:pStyle w:val="Prrafodelista"/>
        <w:numPr>
          <w:ilvl w:val="0"/>
          <w:numId w:val="24"/>
        </w:numPr>
        <w:spacing w:line="480" w:lineRule="auto"/>
        <w:rPr>
          <w:rFonts w:ascii="Times New Roman" w:hAnsi="Times New Roman" w:cs="Times New Roman"/>
          <w:sz w:val="24"/>
          <w:lang w:val="es-ES"/>
        </w:rPr>
      </w:pPr>
      <w:r>
        <w:rPr>
          <w:rFonts w:ascii="Times New Roman" w:hAnsi="Times New Roman" w:cs="Times New Roman"/>
          <w:sz w:val="24"/>
          <w:lang w:val="es-ES"/>
        </w:rPr>
        <w:t>Daño a la vida en relación;</w:t>
      </w:r>
    </w:p>
    <w:p w14:paraId="721AEF7D" w14:textId="77777777" w:rsidR="00CB5479" w:rsidRDefault="00CB5479" w:rsidP="00CB5479">
      <w:pPr>
        <w:pStyle w:val="Prrafodelista"/>
        <w:numPr>
          <w:ilvl w:val="0"/>
          <w:numId w:val="24"/>
        </w:numPr>
        <w:spacing w:line="480" w:lineRule="auto"/>
        <w:rPr>
          <w:rFonts w:ascii="Times New Roman" w:hAnsi="Times New Roman" w:cs="Times New Roman"/>
          <w:sz w:val="24"/>
          <w:lang w:val="es-ES"/>
        </w:rPr>
      </w:pPr>
      <w:r>
        <w:rPr>
          <w:rFonts w:ascii="Times New Roman" w:hAnsi="Times New Roman" w:cs="Times New Roman"/>
          <w:sz w:val="24"/>
          <w:lang w:val="es-ES"/>
        </w:rPr>
        <w:t>L</w:t>
      </w:r>
      <w:r w:rsidR="006E0596" w:rsidRPr="00CB5479">
        <w:rPr>
          <w:rFonts w:ascii="Times New Roman" w:hAnsi="Times New Roman" w:cs="Times New Roman"/>
          <w:sz w:val="24"/>
          <w:lang w:val="es-ES"/>
        </w:rPr>
        <w:t>a pérdida de calida</w:t>
      </w:r>
      <w:r>
        <w:rPr>
          <w:rFonts w:ascii="Times New Roman" w:hAnsi="Times New Roman" w:cs="Times New Roman"/>
          <w:sz w:val="24"/>
          <w:lang w:val="es-ES"/>
        </w:rPr>
        <w:t>d de vida y del bienestar;</w:t>
      </w:r>
    </w:p>
    <w:p w14:paraId="44133BD2" w14:textId="77777777" w:rsidR="00CB5479" w:rsidRDefault="00CB5479" w:rsidP="00CB5479">
      <w:pPr>
        <w:pStyle w:val="Prrafodelista"/>
        <w:numPr>
          <w:ilvl w:val="0"/>
          <w:numId w:val="24"/>
        </w:numPr>
        <w:spacing w:line="480" w:lineRule="auto"/>
        <w:rPr>
          <w:rFonts w:ascii="Times New Roman" w:hAnsi="Times New Roman" w:cs="Times New Roman"/>
          <w:sz w:val="24"/>
          <w:lang w:val="es-ES"/>
        </w:rPr>
      </w:pPr>
      <w:r>
        <w:rPr>
          <w:rFonts w:ascii="Times New Roman" w:hAnsi="Times New Roman" w:cs="Times New Roman"/>
          <w:sz w:val="24"/>
          <w:lang w:val="es-ES"/>
        </w:rPr>
        <w:t>L</w:t>
      </w:r>
      <w:r w:rsidR="006E0596" w:rsidRPr="00CB5479">
        <w:rPr>
          <w:rFonts w:ascii="Times New Roman" w:hAnsi="Times New Roman" w:cs="Times New Roman"/>
          <w:sz w:val="24"/>
          <w:lang w:val="es-ES"/>
        </w:rPr>
        <w:t>as ya mencionadas afectaciones a derec</w:t>
      </w:r>
      <w:r>
        <w:rPr>
          <w:rFonts w:ascii="Times New Roman" w:hAnsi="Times New Roman" w:cs="Times New Roman"/>
          <w:sz w:val="24"/>
          <w:lang w:val="es-ES"/>
        </w:rPr>
        <w:t>hos constitucionales amparados.</w:t>
      </w:r>
    </w:p>
    <w:p w14:paraId="7F9E5DB8" w14:textId="2E51CCA6" w:rsidR="00CB5479" w:rsidRPr="005C0503" w:rsidRDefault="00CB5479" w:rsidP="005C0503">
      <w:pPr>
        <w:pStyle w:val="Prrafodelista"/>
        <w:spacing w:line="480" w:lineRule="auto"/>
        <w:ind w:left="502"/>
        <w:rPr>
          <w:rFonts w:ascii="Times New Roman" w:hAnsi="Times New Roman" w:cs="Times New Roman"/>
          <w:sz w:val="24"/>
          <w:lang w:val="es-ES"/>
        </w:rPr>
      </w:pPr>
      <w:r w:rsidRPr="005C0503">
        <w:rPr>
          <w:rFonts w:ascii="Times New Roman" w:hAnsi="Times New Roman" w:cs="Times New Roman"/>
          <w:sz w:val="24"/>
          <w:lang w:val="es-ES"/>
        </w:rPr>
        <w:t>Es por lo anterior, que</w:t>
      </w:r>
      <w:r w:rsidR="00245B2C" w:rsidRPr="005C0503">
        <w:rPr>
          <w:rFonts w:ascii="Times New Roman" w:hAnsi="Times New Roman" w:cs="Times New Roman"/>
          <w:sz w:val="24"/>
          <w:lang w:val="es-ES"/>
        </w:rPr>
        <w:t xml:space="preserve"> dichos perjuicios deben ser indemnizados</w:t>
      </w:r>
      <w:r w:rsidR="00C40A78">
        <w:rPr>
          <w:rFonts w:ascii="Times New Roman" w:hAnsi="Times New Roman" w:cs="Times New Roman"/>
          <w:sz w:val="24"/>
          <w:lang w:val="es-ES"/>
        </w:rPr>
        <w:t>, en un primer momento,</w:t>
      </w:r>
      <w:r w:rsidR="00245B2C" w:rsidRPr="005C0503">
        <w:rPr>
          <w:rFonts w:ascii="Times New Roman" w:hAnsi="Times New Roman" w:cs="Times New Roman"/>
          <w:sz w:val="24"/>
          <w:lang w:val="es-ES"/>
        </w:rPr>
        <w:t xml:space="preserve"> por las AFP, por su ya mencionado incumplimiento.</w:t>
      </w:r>
    </w:p>
    <w:p w14:paraId="166E502B" w14:textId="5B0B4E68" w:rsidR="006E0596" w:rsidRPr="00A8717D" w:rsidRDefault="007760F7" w:rsidP="00A8717D">
      <w:pPr>
        <w:pStyle w:val="Prrafodelista"/>
        <w:numPr>
          <w:ilvl w:val="0"/>
          <w:numId w:val="21"/>
        </w:numPr>
        <w:spacing w:line="480" w:lineRule="auto"/>
        <w:rPr>
          <w:rFonts w:ascii="Times New Roman" w:hAnsi="Times New Roman" w:cs="Times New Roman"/>
          <w:sz w:val="24"/>
          <w:lang w:val="es-ES"/>
        </w:rPr>
      </w:pPr>
      <w:r w:rsidRPr="00A8717D">
        <w:rPr>
          <w:rFonts w:ascii="Times New Roman" w:hAnsi="Times New Roman" w:cs="Times New Roman"/>
          <w:sz w:val="24"/>
          <w:lang w:val="es-ES"/>
        </w:rPr>
        <w:t>En otro orden de ideas</w:t>
      </w:r>
      <w:r w:rsidR="00245B2C" w:rsidRPr="00A8717D">
        <w:rPr>
          <w:rFonts w:ascii="Times New Roman" w:hAnsi="Times New Roman" w:cs="Times New Roman"/>
          <w:sz w:val="24"/>
          <w:lang w:val="es-ES"/>
        </w:rPr>
        <w:t xml:space="preserve">, debe tenerse en cuenta hasta qué punto puede llegar la responsabilidad de la Superintendencia Financiera de Colombia, pues de lograr determinarse que cuenta con los medios para actuar oficiosamente y prevenir </w:t>
      </w:r>
      <w:r w:rsidR="00747DAF" w:rsidRPr="00A8717D">
        <w:rPr>
          <w:rFonts w:ascii="Times New Roman" w:hAnsi="Times New Roman" w:cs="Times New Roman"/>
          <w:sz w:val="24"/>
          <w:lang w:val="es-ES"/>
        </w:rPr>
        <w:t>esta violación al deber de información por parte de los promotores de las AFP, si</w:t>
      </w:r>
      <w:r w:rsidR="00B034C7" w:rsidRPr="00A8717D">
        <w:rPr>
          <w:rFonts w:ascii="Times New Roman" w:hAnsi="Times New Roman" w:cs="Times New Roman"/>
          <w:sz w:val="24"/>
          <w:lang w:val="es-ES"/>
        </w:rPr>
        <w:t>n</w:t>
      </w:r>
      <w:r w:rsidR="00747DAF" w:rsidRPr="00A8717D">
        <w:rPr>
          <w:rFonts w:ascii="Times New Roman" w:hAnsi="Times New Roman" w:cs="Times New Roman"/>
          <w:sz w:val="24"/>
          <w:lang w:val="es-ES"/>
        </w:rPr>
        <w:t xml:space="preserve"> necesidad de que haya una solicitud de parte para que esta inicie la correspondiente actuación. En ese sentido, se podría hablar de una omisión en</w:t>
      </w:r>
      <w:r w:rsidR="006E0596" w:rsidRPr="00A8717D">
        <w:rPr>
          <w:rFonts w:ascii="Times New Roman" w:hAnsi="Times New Roman" w:cs="Times New Roman"/>
          <w:sz w:val="24"/>
          <w:lang w:val="es-ES"/>
        </w:rPr>
        <w:t xml:space="preserve"> la función de i</w:t>
      </w:r>
      <w:r w:rsidR="00747DAF" w:rsidRPr="00A8717D">
        <w:rPr>
          <w:rFonts w:ascii="Times New Roman" w:hAnsi="Times New Roman" w:cs="Times New Roman"/>
          <w:sz w:val="24"/>
          <w:lang w:val="es-ES"/>
        </w:rPr>
        <w:t>nspección, vigilancia y control</w:t>
      </w:r>
      <w:r w:rsidR="006E0596" w:rsidRPr="00A8717D">
        <w:rPr>
          <w:rFonts w:ascii="Times New Roman" w:hAnsi="Times New Roman" w:cs="Times New Roman"/>
          <w:sz w:val="24"/>
          <w:lang w:val="es-ES"/>
        </w:rPr>
        <w:t xml:space="preserve"> de las AFP al ser entidades financieras, responsabilidad consagrada en el </w:t>
      </w:r>
      <w:r w:rsidR="00747DAF" w:rsidRPr="00A8717D">
        <w:rPr>
          <w:rFonts w:ascii="Times New Roman" w:hAnsi="Times New Roman" w:cs="Times New Roman"/>
          <w:sz w:val="24"/>
          <w:lang w:val="es-ES"/>
        </w:rPr>
        <w:t>artículo</w:t>
      </w:r>
      <w:r w:rsidR="006E0596" w:rsidRPr="00A8717D">
        <w:rPr>
          <w:rFonts w:ascii="Times New Roman" w:hAnsi="Times New Roman" w:cs="Times New Roman"/>
          <w:sz w:val="24"/>
          <w:lang w:val="es-ES"/>
        </w:rPr>
        <w:t xml:space="preserve"> 90 de la Carta política</w:t>
      </w:r>
      <w:r w:rsidR="00747DAF" w:rsidRPr="00A8717D">
        <w:rPr>
          <w:rFonts w:ascii="Times New Roman" w:hAnsi="Times New Roman" w:cs="Times New Roman"/>
          <w:sz w:val="24"/>
          <w:lang w:val="es-ES"/>
        </w:rPr>
        <w:t xml:space="preserve"> y que cuenta con un amplio marco legal</w:t>
      </w:r>
      <w:r w:rsidR="00747DAF" w:rsidRPr="00A8717D">
        <w:footnoteReference w:id="1"/>
      </w:r>
      <w:r w:rsidR="006E0596" w:rsidRPr="00A8717D">
        <w:rPr>
          <w:rFonts w:ascii="Times New Roman" w:hAnsi="Times New Roman" w:cs="Times New Roman"/>
          <w:sz w:val="24"/>
          <w:lang w:val="es-ES"/>
        </w:rPr>
        <w:t xml:space="preserve">, por lo que también se considera que por tratarse de una responsabilidad de rango constitucional, debería analizarse de una manera </w:t>
      </w:r>
      <w:r w:rsidR="00747DAF" w:rsidRPr="00A8717D">
        <w:rPr>
          <w:rFonts w:ascii="Times New Roman" w:hAnsi="Times New Roman" w:cs="Times New Roman"/>
          <w:sz w:val="24"/>
          <w:lang w:val="es-ES"/>
        </w:rPr>
        <w:t>más</w:t>
      </w:r>
      <w:r w:rsidR="006E0596" w:rsidRPr="00A8717D">
        <w:rPr>
          <w:rFonts w:ascii="Times New Roman" w:hAnsi="Times New Roman" w:cs="Times New Roman"/>
          <w:sz w:val="24"/>
          <w:lang w:val="es-ES"/>
        </w:rPr>
        <w:t xml:space="preserve"> rigurosa, pues evidentemente al omitir las</w:t>
      </w:r>
      <w:r w:rsidR="00747DAF" w:rsidRPr="00A8717D">
        <w:rPr>
          <w:rFonts w:ascii="Times New Roman" w:hAnsi="Times New Roman" w:cs="Times New Roman"/>
          <w:sz w:val="24"/>
          <w:lang w:val="es-ES"/>
        </w:rPr>
        <w:t xml:space="preserve"> funciones que le otorga la ley, se </w:t>
      </w:r>
      <w:r w:rsidR="006E0596" w:rsidRPr="00A8717D">
        <w:rPr>
          <w:rFonts w:ascii="Times New Roman" w:hAnsi="Times New Roman" w:cs="Times New Roman"/>
          <w:sz w:val="24"/>
          <w:lang w:val="es-ES"/>
        </w:rPr>
        <w:t>genera</w:t>
      </w:r>
      <w:r w:rsidR="00747DAF" w:rsidRPr="00A8717D">
        <w:rPr>
          <w:rFonts w:ascii="Times New Roman" w:hAnsi="Times New Roman" w:cs="Times New Roman"/>
          <w:sz w:val="24"/>
          <w:lang w:val="es-ES"/>
        </w:rPr>
        <w:t>ría una falla en el servicio, título</w:t>
      </w:r>
      <w:r w:rsidR="006E0596" w:rsidRPr="00A8717D">
        <w:rPr>
          <w:rFonts w:ascii="Times New Roman" w:hAnsi="Times New Roman" w:cs="Times New Roman"/>
          <w:sz w:val="24"/>
          <w:lang w:val="es-ES"/>
        </w:rPr>
        <w:t xml:space="preserve"> jurídico de imputación por excelencia para desencadenar la obligación indemnizatoria del estado, pues </w:t>
      </w:r>
      <w:r w:rsidR="006E0596" w:rsidRPr="00A8717D">
        <w:rPr>
          <w:rFonts w:ascii="Times New Roman" w:hAnsi="Times New Roman" w:cs="Times New Roman"/>
          <w:sz w:val="24"/>
          <w:lang w:val="es-ES"/>
        </w:rPr>
        <w:lastRenderedPageBreak/>
        <w:t xml:space="preserve">si dicha entidad actúa oportunamente, sin irregularidades, omisiones o ausencias y por tanto, inspeccionando, vigilando y controlando las operaciones de las AFP, no existirían ni traslados, ni daños antijurídicos de una manera masiva. </w:t>
      </w:r>
    </w:p>
    <w:p w14:paraId="05AE7794" w14:textId="172F2FB2" w:rsidR="006E0596" w:rsidRDefault="007760F7" w:rsidP="006E0596">
      <w:pPr>
        <w:spacing w:line="480" w:lineRule="auto"/>
        <w:ind w:firstLine="709"/>
        <w:rPr>
          <w:lang w:val="es-CO"/>
        </w:rPr>
      </w:pPr>
      <w:r w:rsidRPr="00A8717D">
        <w:rPr>
          <w:lang w:val="es-CO"/>
        </w:rPr>
        <w:t>Corolario de lo anterior</w:t>
      </w:r>
      <w:r w:rsidR="006E0596" w:rsidRPr="00A8717D">
        <w:rPr>
          <w:lang w:val="es-CO"/>
        </w:rPr>
        <w:t>, puede establecerse que</w:t>
      </w:r>
      <w:r w:rsidR="007723C7" w:rsidRPr="00A8717D">
        <w:rPr>
          <w:lang w:val="es-CO"/>
        </w:rPr>
        <w:t xml:space="preserve"> </w:t>
      </w:r>
      <w:r w:rsidR="006E0596" w:rsidRPr="00A8717D">
        <w:rPr>
          <w:lang w:val="es-CO"/>
        </w:rPr>
        <w:t>no resulta impensable, con el acervo probatorio apropiado</w:t>
      </w:r>
      <w:r w:rsidR="00C40A78" w:rsidRPr="00A8717D">
        <w:rPr>
          <w:lang w:val="es-CO"/>
        </w:rPr>
        <w:t>,</w:t>
      </w:r>
      <w:r w:rsidR="006E0596" w:rsidRPr="00A8717D">
        <w:rPr>
          <w:lang w:val="es-CO"/>
        </w:rPr>
        <w:t xml:space="preserve"> </w:t>
      </w:r>
      <w:r w:rsidR="006E0596">
        <w:rPr>
          <w:lang w:val="es-CO"/>
        </w:rPr>
        <w:t xml:space="preserve">pretender que se declare la responsabilidad de </w:t>
      </w:r>
      <w:r w:rsidR="001D4A42">
        <w:rPr>
          <w:lang w:val="es-CO"/>
        </w:rPr>
        <w:t>las AFP y de la Superintendencia Financiera</w:t>
      </w:r>
      <w:r w:rsidR="006E0596">
        <w:rPr>
          <w:lang w:val="es-CO"/>
        </w:rPr>
        <w:t xml:space="preserve"> por </w:t>
      </w:r>
      <w:r w:rsidR="001D4A42">
        <w:rPr>
          <w:lang w:val="es-CO"/>
        </w:rPr>
        <w:t>los perjuicios ocasionado</w:t>
      </w:r>
      <w:r w:rsidR="00F4420D">
        <w:rPr>
          <w:lang w:val="es-CO"/>
        </w:rPr>
        <w:t>s como</w:t>
      </w:r>
      <w:r w:rsidR="001D4A42">
        <w:rPr>
          <w:lang w:val="es-CO"/>
        </w:rPr>
        <w:t xml:space="preserve"> consecuencia del</w:t>
      </w:r>
      <w:r w:rsidR="006E0596">
        <w:rPr>
          <w:lang w:val="es-CO"/>
        </w:rPr>
        <w:t xml:space="preserve"> daño</w:t>
      </w:r>
      <w:r w:rsidR="001D4A42">
        <w:rPr>
          <w:lang w:val="es-CO"/>
        </w:rPr>
        <w:t xml:space="preserve"> producido por la falta al deber de información,</w:t>
      </w:r>
      <w:r w:rsidR="006E0596">
        <w:rPr>
          <w:lang w:val="es-CO"/>
        </w:rPr>
        <w:t xml:space="preserve"> y una falla en el servicio </w:t>
      </w:r>
      <w:r w:rsidR="001D4A42">
        <w:rPr>
          <w:lang w:val="es-CO"/>
        </w:rPr>
        <w:t>por</w:t>
      </w:r>
      <w:r w:rsidR="006E0596">
        <w:rPr>
          <w:lang w:val="es-CO"/>
        </w:rPr>
        <w:t xml:space="preserve"> </w:t>
      </w:r>
      <w:r w:rsidR="001D4A42">
        <w:rPr>
          <w:lang w:val="es-CO"/>
        </w:rPr>
        <w:t>omisión en</w:t>
      </w:r>
      <w:r w:rsidR="006E0596">
        <w:rPr>
          <w:lang w:val="es-CO"/>
        </w:rPr>
        <w:t xml:space="preserve"> las funciones de in</w:t>
      </w:r>
      <w:r w:rsidR="001D4A42">
        <w:rPr>
          <w:lang w:val="es-CO"/>
        </w:rPr>
        <w:t>spección, vigilancia y control, respectivamente.</w:t>
      </w:r>
    </w:p>
    <w:p w14:paraId="6AE2B799" w14:textId="315D391D" w:rsidR="00C40A78" w:rsidRPr="00A8717D" w:rsidRDefault="00C40A78" w:rsidP="006E0596">
      <w:pPr>
        <w:spacing w:line="480" w:lineRule="auto"/>
        <w:ind w:firstLine="709"/>
        <w:rPr>
          <w:lang w:val="es-CO"/>
        </w:rPr>
      </w:pPr>
      <w:r w:rsidRPr="00A8717D">
        <w:rPr>
          <w:lang w:val="es-CO"/>
        </w:rPr>
        <w:t>Lógicamente, la procedencia de esos perjuicios se discutirán en la jurisdicción competente según se reclamen a la AFP (</w:t>
      </w:r>
      <w:r w:rsidR="00A8717D" w:rsidRPr="00A8717D">
        <w:rPr>
          <w:lang w:val="es-CO"/>
        </w:rPr>
        <w:t>Juez Laboral, mediante Proceso Ordinario Laboral</w:t>
      </w:r>
      <w:r w:rsidRPr="00A8717D">
        <w:rPr>
          <w:lang w:val="es-CO"/>
        </w:rPr>
        <w:t xml:space="preserve">), o a la </w:t>
      </w:r>
      <w:r w:rsidR="00A8717D" w:rsidRPr="00A8717D">
        <w:rPr>
          <w:lang w:val="es-CO"/>
        </w:rPr>
        <w:t>Superintendencia Financiera (J</w:t>
      </w:r>
      <w:r w:rsidRPr="00A8717D">
        <w:rPr>
          <w:lang w:val="es-CO"/>
        </w:rPr>
        <w:t xml:space="preserve">uez </w:t>
      </w:r>
      <w:r w:rsidR="00A8717D" w:rsidRPr="00A8717D">
        <w:rPr>
          <w:lang w:val="es-CO"/>
        </w:rPr>
        <w:t>Administrativo, a través del Medio de C</w:t>
      </w:r>
      <w:r w:rsidRPr="00A8717D">
        <w:rPr>
          <w:lang w:val="es-CO"/>
        </w:rPr>
        <w:t xml:space="preserve">ontrol de </w:t>
      </w:r>
      <w:r w:rsidR="00A8717D" w:rsidRPr="00A8717D">
        <w:rPr>
          <w:lang w:val="es-CO"/>
        </w:rPr>
        <w:t>R</w:t>
      </w:r>
      <w:r w:rsidRPr="00A8717D">
        <w:rPr>
          <w:lang w:val="es-CO"/>
        </w:rPr>
        <w:t xml:space="preserve">eparación </w:t>
      </w:r>
      <w:r w:rsidR="00A8717D" w:rsidRPr="00A8717D">
        <w:rPr>
          <w:lang w:val="es-CO"/>
        </w:rPr>
        <w:t>D</w:t>
      </w:r>
      <w:r w:rsidRPr="00A8717D">
        <w:rPr>
          <w:lang w:val="es-CO"/>
        </w:rPr>
        <w:t xml:space="preserve">irecta), debiendo en cada caso demostrar </w:t>
      </w:r>
      <w:r w:rsidR="00F62AE9" w:rsidRPr="00A8717D">
        <w:rPr>
          <w:lang w:val="es-CO"/>
        </w:rPr>
        <w:t xml:space="preserve">la existencia de un daño o perjuicio que debe ser reparado, la conexidad del mismo con la acción u omisión de quien se imputa y </w:t>
      </w:r>
      <w:r w:rsidRPr="00A8717D">
        <w:rPr>
          <w:lang w:val="es-CO"/>
        </w:rPr>
        <w:t>el valor de su reparación o indemnización</w:t>
      </w:r>
      <w:r w:rsidR="00F62AE9" w:rsidRPr="00A8717D">
        <w:rPr>
          <w:lang w:val="es-CO"/>
        </w:rPr>
        <w:t>, aspectos que escapan al objeto del presente estudio.</w:t>
      </w:r>
    </w:p>
    <w:p w14:paraId="3F505175" w14:textId="77777777" w:rsidR="00B80122" w:rsidRDefault="00B80122" w:rsidP="00B80122">
      <w:pPr>
        <w:spacing w:line="480" w:lineRule="auto"/>
        <w:rPr>
          <w:lang w:val="es-CO"/>
        </w:rPr>
      </w:pPr>
    </w:p>
    <w:p w14:paraId="0751D484" w14:textId="77777777" w:rsidR="00B80122" w:rsidRDefault="00B80122" w:rsidP="00ED7EE8">
      <w:pPr>
        <w:spacing w:line="480" w:lineRule="auto"/>
        <w:ind w:firstLine="709"/>
        <w:rPr>
          <w:lang w:val="es-CO"/>
        </w:rPr>
      </w:pPr>
    </w:p>
    <w:p w14:paraId="1F246F91" w14:textId="77777777" w:rsidR="00D42E8B" w:rsidRDefault="00D42E8B" w:rsidP="00ED7EE8">
      <w:pPr>
        <w:spacing w:line="480" w:lineRule="auto"/>
        <w:ind w:firstLine="709"/>
        <w:rPr>
          <w:lang w:val="es-CO"/>
        </w:rPr>
      </w:pPr>
    </w:p>
    <w:p w14:paraId="53D8D53B" w14:textId="77777777" w:rsidR="00D42E8B" w:rsidRDefault="00D42E8B" w:rsidP="00ED7EE8">
      <w:pPr>
        <w:spacing w:line="480" w:lineRule="auto"/>
        <w:ind w:firstLine="709"/>
        <w:rPr>
          <w:lang w:val="es-CO"/>
        </w:rPr>
      </w:pPr>
    </w:p>
    <w:p w14:paraId="4079242E" w14:textId="77777777" w:rsidR="00D42E8B" w:rsidRDefault="00D42E8B" w:rsidP="00ED7EE8">
      <w:pPr>
        <w:spacing w:line="480" w:lineRule="auto"/>
        <w:ind w:firstLine="709"/>
        <w:rPr>
          <w:lang w:val="es-CO"/>
        </w:rPr>
      </w:pPr>
    </w:p>
    <w:p w14:paraId="026DDA32" w14:textId="77777777" w:rsidR="00D42E8B" w:rsidRDefault="00D42E8B" w:rsidP="00ED7EE8">
      <w:pPr>
        <w:spacing w:line="480" w:lineRule="auto"/>
        <w:ind w:firstLine="709"/>
        <w:rPr>
          <w:lang w:val="es-CO"/>
        </w:rPr>
      </w:pPr>
    </w:p>
    <w:p w14:paraId="4B586FB4" w14:textId="77777777" w:rsidR="00D42E8B" w:rsidRDefault="00D42E8B" w:rsidP="00ED7EE8">
      <w:pPr>
        <w:spacing w:line="480" w:lineRule="auto"/>
        <w:ind w:firstLine="709"/>
        <w:rPr>
          <w:lang w:val="es-CO"/>
        </w:rPr>
      </w:pPr>
    </w:p>
    <w:p w14:paraId="1AC2276F" w14:textId="77777777" w:rsidR="00D42E8B" w:rsidRDefault="00D42E8B" w:rsidP="00ED7EE8">
      <w:pPr>
        <w:spacing w:line="480" w:lineRule="auto"/>
        <w:ind w:firstLine="709"/>
        <w:rPr>
          <w:lang w:val="es-CO"/>
        </w:rPr>
      </w:pPr>
    </w:p>
    <w:p w14:paraId="5CC83FB7" w14:textId="05510941" w:rsidR="00375DCA" w:rsidRDefault="00ED7EE8" w:rsidP="00E21876">
      <w:pPr>
        <w:spacing w:line="480" w:lineRule="auto"/>
        <w:rPr>
          <w:b/>
        </w:rPr>
      </w:pPr>
      <w:bookmarkStart w:id="20" w:name="Referencias"/>
      <w:r w:rsidRPr="005C0503">
        <w:rPr>
          <w:b/>
        </w:rPr>
        <w:lastRenderedPageBreak/>
        <w:t>R</w:t>
      </w:r>
      <w:r w:rsidR="00E21876" w:rsidRPr="005C0503">
        <w:rPr>
          <w:b/>
        </w:rPr>
        <w:t>eferencias</w:t>
      </w:r>
    </w:p>
    <w:bookmarkEnd w:id="20"/>
    <w:p w14:paraId="051D56ED" w14:textId="03326215" w:rsidR="00F4640C" w:rsidRDefault="00F4640C" w:rsidP="00E21876">
      <w:pPr>
        <w:spacing w:line="480" w:lineRule="auto"/>
        <w:ind w:left="709" w:hanging="709"/>
      </w:pPr>
      <w:r>
        <w:t xml:space="preserve">Alarcón, F. </w:t>
      </w:r>
      <w:r w:rsidRPr="00F4640C">
        <w:t>La ineficacia de pleno derecho en los negocios jurídicos</w:t>
      </w:r>
      <w:r w:rsidR="00A02E83">
        <w:t xml:space="preserve"> (2011). Universidad Externado de Colombia.</w:t>
      </w:r>
    </w:p>
    <w:p w14:paraId="2D221195" w14:textId="7921F0F3" w:rsidR="00B61C6D" w:rsidRDefault="00B61C6D" w:rsidP="00E21876">
      <w:pPr>
        <w:spacing w:line="480" w:lineRule="auto"/>
        <w:ind w:left="709" w:hanging="709"/>
      </w:pPr>
      <w:r>
        <w:t xml:space="preserve">Banco de la República. Enciclopedia (S.F.). Tomado de: </w:t>
      </w:r>
      <w:r w:rsidRPr="00B61C6D">
        <w:t>https://enciclopedia.banrepcultural.org/index.php/Dep%C3%B3sitos_a_t%C3%A9rmino_fijo</w:t>
      </w:r>
    </w:p>
    <w:p w14:paraId="788F79DA" w14:textId="0F095B32" w:rsidR="00E21876" w:rsidRDefault="00E21876" w:rsidP="00E21876">
      <w:pPr>
        <w:spacing w:line="480" w:lineRule="auto"/>
        <w:ind w:left="709" w:hanging="709"/>
      </w:pPr>
      <w:r w:rsidRPr="00E21876">
        <w:t>Cartilla de Seguridad Social y Pensiones</w:t>
      </w:r>
      <w:r>
        <w:t xml:space="preserve"> (2018). Legis.</w:t>
      </w:r>
    </w:p>
    <w:p w14:paraId="5BDBE0A3" w14:textId="183EF4A8" w:rsidR="00105586" w:rsidRDefault="00105586" w:rsidP="00E21876">
      <w:pPr>
        <w:spacing w:line="480" w:lineRule="auto"/>
        <w:ind w:left="709" w:hanging="709"/>
      </w:pPr>
      <w:r>
        <w:t xml:space="preserve">Código Civil, </w:t>
      </w:r>
      <w:r w:rsidRPr="00105586">
        <w:t>Diario Oficial No. 2.867 de 31 de mayo de 1873</w:t>
      </w:r>
      <w:r>
        <w:t>.</w:t>
      </w:r>
    </w:p>
    <w:p w14:paraId="4A1C88DC" w14:textId="08E9BF11" w:rsidR="00F77882" w:rsidRDefault="00F77882" w:rsidP="00E21876">
      <w:pPr>
        <w:spacing w:line="480" w:lineRule="auto"/>
        <w:ind w:left="709" w:hanging="709"/>
      </w:pPr>
      <w:r w:rsidRPr="00D92820">
        <w:t xml:space="preserve">Consejo </w:t>
      </w:r>
      <w:r>
        <w:t>d</w:t>
      </w:r>
      <w:r w:rsidRPr="00D92820">
        <w:t>e Estado</w:t>
      </w:r>
      <w:r>
        <w:t>,</w:t>
      </w:r>
      <w:r w:rsidRPr="00D92820">
        <w:t xml:space="preserve"> Sala </w:t>
      </w:r>
      <w:r>
        <w:t>d</w:t>
      </w:r>
      <w:r w:rsidRPr="00D92820">
        <w:t xml:space="preserve">e </w:t>
      </w:r>
      <w:r>
        <w:t>l</w:t>
      </w:r>
      <w:r w:rsidRPr="00D92820">
        <w:t>o Contencioso Administrativo</w:t>
      </w:r>
      <w:r>
        <w:t>,</w:t>
      </w:r>
      <w:r w:rsidRPr="00D92820">
        <w:t xml:space="preserve"> Sección Tercera</w:t>
      </w:r>
      <w:r>
        <w:t>.</w:t>
      </w:r>
      <w:r w:rsidRPr="00F77882">
        <w:t xml:space="preserve"> </w:t>
      </w:r>
      <w:r>
        <w:t xml:space="preserve">Sentencia del </w:t>
      </w:r>
      <w:r w:rsidRPr="00F77882">
        <w:t>19</w:t>
      </w:r>
      <w:r>
        <w:t xml:space="preserve"> julio 2000. Consejero Ponente: </w:t>
      </w:r>
      <w:r w:rsidRPr="00F77882">
        <w:t>Alier Eduardo Hernández Enríquez</w:t>
      </w:r>
      <w:r>
        <w:t>.</w:t>
      </w:r>
    </w:p>
    <w:p w14:paraId="3C9B1E57" w14:textId="57EB15C4" w:rsidR="00D92820" w:rsidRDefault="00D92820" w:rsidP="00E21876">
      <w:pPr>
        <w:spacing w:line="480" w:lineRule="auto"/>
        <w:ind w:left="709" w:hanging="709"/>
      </w:pPr>
      <w:r w:rsidRPr="00D92820">
        <w:t xml:space="preserve">Consejo </w:t>
      </w:r>
      <w:r>
        <w:t>d</w:t>
      </w:r>
      <w:r w:rsidRPr="00D92820">
        <w:t>e Estado</w:t>
      </w:r>
      <w:r>
        <w:t>,</w:t>
      </w:r>
      <w:r w:rsidRPr="00D92820">
        <w:t xml:space="preserve"> Sala </w:t>
      </w:r>
      <w:r>
        <w:t>d</w:t>
      </w:r>
      <w:r w:rsidRPr="00D92820">
        <w:t xml:space="preserve">e </w:t>
      </w:r>
      <w:r>
        <w:t>l</w:t>
      </w:r>
      <w:r w:rsidRPr="00D92820">
        <w:t>o Contencioso Administrativo</w:t>
      </w:r>
      <w:r>
        <w:t>,</w:t>
      </w:r>
      <w:r w:rsidRPr="00D92820">
        <w:t xml:space="preserve"> Sección Tercera</w:t>
      </w:r>
      <w:r>
        <w:t>.</w:t>
      </w:r>
      <w:r w:rsidRPr="00D92820">
        <w:t xml:space="preserve"> Consejero P</w:t>
      </w:r>
      <w:r>
        <w:t>onente: Ramiro Saavedra Becerra. Sentencia N°</w:t>
      </w:r>
      <w:r w:rsidRPr="00D92820">
        <w:t xml:space="preserve"> 11001-03-26-000-1998-00017-00</w:t>
      </w:r>
      <w:r>
        <w:t xml:space="preserve"> </w:t>
      </w:r>
      <w:r w:rsidRPr="00D92820">
        <w:t>(15071</w:t>
      </w:r>
      <w:r>
        <w:t xml:space="preserve">) del </w:t>
      </w:r>
      <w:r w:rsidRPr="00D92820">
        <w:t xml:space="preserve">8 </w:t>
      </w:r>
      <w:r>
        <w:t>d</w:t>
      </w:r>
      <w:r w:rsidRPr="00D92820">
        <w:t>e Marzo</w:t>
      </w:r>
      <w:r>
        <w:t xml:space="preserve"> de </w:t>
      </w:r>
      <w:r w:rsidRPr="00D92820">
        <w:t>2007</w:t>
      </w:r>
      <w:r>
        <w:t>.</w:t>
      </w:r>
    </w:p>
    <w:p w14:paraId="4B7996CF" w14:textId="6045A6B3" w:rsidR="00C941F1" w:rsidRPr="00C941F1" w:rsidRDefault="00C941F1" w:rsidP="00E21876">
      <w:pPr>
        <w:spacing w:line="480" w:lineRule="auto"/>
        <w:ind w:left="709" w:hanging="709"/>
        <w:rPr>
          <w:lang w:val="es-CO"/>
        </w:rPr>
      </w:pPr>
      <w:r w:rsidRPr="00D92820">
        <w:t xml:space="preserve">Consejo </w:t>
      </w:r>
      <w:r>
        <w:t>d</w:t>
      </w:r>
      <w:r w:rsidRPr="00D92820">
        <w:t>e Estado</w:t>
      </w:r>
      <w:r w:rsidRPr="00C941F1">
        <w:rPr>
          <w:lang w:val="es-CO"/>
        </w:rPr>
        <w:t xml:space="preserve">, Sección Tercera, </w:t>
      </w:r>
      <w:r>
        <w:t xml:space="preserve">Sentencia </w:t>
      </w:r>
      <w:r w:rsidR="00F77882">
        <w:t xml:space="preserve">del </w:t>
      </w:r>
      <w:r w:rsidRPr="00D92820">
        <w:t xml:space="preserve"> </w:t>
      </w:r>
      <w:r w:rsidRPr="00C941F1">
        <w:rPr>
          <w:lang w:val="es-CO"/>
        </w:rPr>
        <w:t xml:space="preserve">9 de junio 2010, </w:t>
      </w:r>
      <w:r w:rsidR="00F77882">
        <w:rPr>
          <w:lang w:val="es-CO"/>
        </w:rPr>
        <w:t>Consejero Ponente:</w:t>
      </w:r>
      <w:r w:rsidRPr="00C941F1">
        <w:rPr>
          <w:lang w:val="es-CO"/>
        </w:rPr>
        <w:t xml:space="preserve"> Mauricio Fajardo Gómez.</w:t>
      </w:r>
    </w:p>
    <w:p w14:paraId="5A5EB311" w14:textId="53ECDAB0" w:rsidR="00FB22DD" w:rsidRDefault="00FB22DD" w:rsidP="00E21876">
      <w:pPr>
        <w:spacing w:line="480" w:lineRule="auto"/>
        <w:ind w:left="709" w:hanging="709"/>
      </w:pPr>
      <w:r>
        <w:t xml:space="preserve">Consejo de Estado, Sentencia N° </w:t>
      </w:r>
      <w:r w:rsidRPr="00FB22DD">
        <w:t>25000-23-26-000-1996-03282-01</w:t>
      </w:r>
      <w:r>
        <w:t xml:space="preserve"> </w:t>
      </w:r>
      <w:r w:rsidRPr="00FB22DD">
        <w:t>(20042)</w:t>
      </w:r>
      <w:r>
        <w:t xml:space="preserve"> del 7 de marzo de 2012.</w:t>
      </w:r>
    </w:p>
    <w:p w14:paraId="4DA24263" w14:textId="62077F70" w:rsidR="00FB22DD" w:rsidRDefault="00FB22DD" w:rsidP="00E21876">
      <w:pPr>
        <w:spacing w:line="480" w:lineRule="auto"/>
        <w:ind w:left="709" w:hanging="709"/>
      </w:pPr>
      <w:r>
        <w:t xml:space="preserve">Consejo de Estado, </w:t>
      </w:r>
      <w:r w:rsidRPr="00FB22DD">
        <w:t>Sentencia del 26 de febrero de 2015, Consejero Ponente Hernán Andrade Rincón</w:t>
      </w:r>
      <w:r>
        <w:t>.</w:t>
      </w:r>
    </w:p>
    <w:p w14:paraId="1D114617" w14:textId="48F0D66B" w:rsidR="005E2343" w:rsidRDefault="005E2343" w:rsidP="00E21876">
      <w:pPr>
        <w:spacing w:line="480" w:lineRule="auto"/>
        <w:ind w:left="709" w:hanging="709"/>
      </w:pPr>
      <w:r w:rsidRPr="005E2343">
        <w:t>Consejo de Estado, Sentencia N° 68001231500019990233001 (34928) del 16 de febrero de 2017</w:t>
      </w:r>
      <w:r>
        <w:t>.</w:t>
      </w:r>
    </w:p>
    <w:p w14:paraId="7D68413A" w14:textId="70AED924" w:rsidR="00E21876" w:rsidRDefault="00E21876" w:rsidP="00E21876">
      <w:pPr>
        <w:spacing w:line="480" w:lineRule="auto"/>
        <w:ind w:left="709" w:hanging="709"/>
      </w:pPr>
      <w:r w:rsidRPr="00E21876">
        <w:t>Consejo de Estado. Radicado 2012-00069 del 1 de junio de 2017</w:t>
      </w:r>
      <w:r w:rsidR="00D92820">
        <w:t>.</w:t>
      </w:r>
    </w:p>
    <w:p w14:paraId="5C930241" w14:textId="77777777" w:rsidR="00E21876" w:rsidRPr="00E21876" w:rsidRDefault="00E21876" w:rsidP="00E21876">
      <w:pPr>
        <w:spacing w:line="480" w:lineRule="auto"/>
        <w:ind w:left="709" w:hanging="709"/>
      </w:pPr>
      <w:r w:rsidRPr="00E21876">
        <w:lastRenderedPageBreak/>
        <w:t>Corte Constitucional. (2001). Sentencia C-836. Magistrado Ponente: Rodrigo Escobar Gil. </w:t>
      </w:r>
    </w:p>
    <w:p w14:paraId="373CD930" w14:textId="1778FDF9" w:rsidR="005E2343" w:rsidRDefault="005E2343" w:rsidP="00E21876">
      <w:pPr>
        <w:spacing w:line="480" w:lineRule="auto"/>
        <w:ind w:left="709" w:hanging="709"/>
      </w:pPr>
      <w:r>
        <w:rPr>
          <w:lang w:val="es-CO"/>
        </w:rPr>
        <w:t>Corte Constitucional. (2002). Sentencia C-619</w:t>
      </w:r>
      <w:r w:rsidR="00105586">
        <w:rPr>
          <w:lang w:val="es-CO"/>
        </w:rPr>
        <w:t>.</w:t>
      </w:r>
    </w:p>
    <w:p w14:paraId="0ECA6456" w14:textId="77777777" w:rsidR="00E21876" w:rsidRPr="00E21876" w:rsidRDefault="00E21876" w:rsidP="00E21876">
      <w:pPr>
        <w:spacing w:line="480" w:lineRule="auto"/>
        <w:ind w:left="709" w:hanging="709"/>
      </w:pPr>
      <w:r w:rsidRPr="00E21876">
        <w:t>Corte Constitucional. (2003). Sentencia C-841. </w:t>
      </w:r>
    </w:p>
    <w:p w14:paraId="0578003A" w14:textId="77777777" w:rsidR="00E21876" w:rsidRPr="00E21876" w:rsidRDefault="00E21876" w:rsidP="00E21876">
      <w:pPr>
        <w:spacing w:line="480" w:lineRule="auto"/>
        <w:ind w:left="709" w:hanging="709"/>
      </w:pPr>
      <w:r w:rsidRPr="00E21876">
        <w:t>Corte Constitucional. (2004). Sentencia C-1024. </w:t>
      </w:r>
    </w:p>
    <w:p w14:paraId="67AD6166" w14:textId="1D41315A" w:rsidR="00E21876" w:rsidRPr="00E21876" w:rsidRDefault="00E21876" w:rsidP="00E21876">
      <w:pPr>
        <w:spacing w:line="480" w:lineRule="auto"/>
        <w:ind w:left="709" w:hanging="709"/>
      </w:pPr>
      <w:r w:rsidRPr="00E21876">
        <w:t>Corte Constitucional. (2010). Sentencia SU-062. Magistrado Ponente</w:t>
      </w:r>
      <w:r w:rsidR="00105586">
        <w:t>: Humberto Antonio Sierra Porto.</w:t>
      </w:r>
    </w:p>
    <w:p w14:paraId="017E65F8" w14:textId="690F0C4E" w:rsidR="00E21876" w:rsidRPr="00E21876" w:rsidRDefault="00E21876" w:rsidP="00E21876">
      <w:pPr>
        <w:spacing w:line="480" w:lineRule="auto"/>
        <w:ind w:left="709" w:hanging="709"/>
      </w:pPr>
      <w:r w:rsidRPr="00E21876">
        <w:t>Corte Constitucional. (2013). Sentencia SU-130. Magistrado Ponente: Gabriel Eduardo Mendoza Martelo</w:t>
      </w:r>
      <w:r w:rsidR="00105586">
        <w:t>.</w:t>
      </w:r>
    </w:p>
    <w:p w14:paraId="37FC69D2" w14:textId="21220BAE" w:rsidR="00E21876" w:rsidRDefault="00E21876" w:rsidP="00E21876">
      <w:pPr>
        <w:spacing w:line="480" w:lineRule="auto"/>
        <w:ind w:left="709" w:hanging="709"/>
      </w:pPr>
      <w:r w:rsidRPr="00E21876">
        <w:t>Corte Constitucional, Sentencia C-345 de 2017. Magistrado Ponente: Alejandro Linares Cantillo</w:t>
      </w:r>
      <w:r w:rsidR="00B04120">
        <w:t>.</w:t>
      </w:r>
    </w:p>
    <w:p w14:paraId="082B18E9" w14:textId="7E413BFE" w:rsidR="00D218BF" w:rsidRDefault="00D218BF" w:rsidP="00E21876">
      <w:pPr>
        <w:spacing w:line="480" w:lineRule="auto"/>
        <w:ind w:left="709" w:hanging="709"/>
        <w:rPr>
          <w:lang w:val="es-ES"/>
        </w:rPr>
      </w:pPr>
      <w:r>
        <w:rPr>
          <w:lang w:val="es-ES"/>
        </w:rPr>
        <w:t xml:space="preserve">Corte Suprema de Justicia, Sala Civil, SC del </w:t>
      </w:r>
      <w:r w:rsidRPr="00D218BF">
        <w:rPr>
          <w:lang w:val="es-ES"/>
        </w:rPr>
        <w:t>3 septiembre 1991</w:t>
      </w:r>
      <w:r>
        <w:rPr>
          <w:lang w:val="es-ES"/>
        </w:rPr>
        <w:t>.</w:t>
      </w:r>
    </w:p>
    <w:p w14:paraId="27799476" w14:textId="7BFAD9E7" w:rsidR="00D218BF" w:rsidRDefault="00D218BF" w:rsidP="00E21876">
      <w:pPr>
        <w:spacing w:line="480" w:lineRule="auto"/>
        <w:ind w:left="709" w:hanging="709"/>
      </w:pPr>
      <w:r>
        <w:rPr>
          <w:lang w:val="es-ES"/>
        </w:rPr>
        <w:t xml:space="preserve">Corte Suprema de Justicia, Sala Civil, SC del </w:t>
      </w:r>
      <w:r w:rsidRPr="00D218BF">
        <w:rPr>
          <w:lang w:val="es-ES"/>
        </w:rPr>
        <w:t>1 abril 2003</w:t>
      </w:r>
      <w:r>
        <w:rPr>
          <w:lang w:val="es-ES"/>
        </w:rPr>
        <w:t>.</w:t>
      </w:r>
    </w:p>
    <w:p w14:paraId="3620466E" w14:textId="0157F889" w:rsidR="00C941F1" w:rsidRDefault="00C941F1" w:rsidP="00E21876">
      <w:pPr>
        <w:spacing w:line="480" w:lineRule="auto"/>
        <w:ind w:left="709" w:hanging="709"/>
      </w:pPr>
      <w:r>
        <w:rPr>
          <w:lang w:val="es-ES"/>
        </w:rPr>
        <w:t>Corte Suprema de Justicia, Sala Civil, SC</w:t>
      </w:r>
      <w:r w:rsidR="00D218BF">
        <w:rPr>
          <w:lang w:val="es-ES"/>
        </w:rPr>
        <w:t xml:space="preserve"> del</w:t>
      </w:r>
      <w:r w:rsidRPr="00764635">
        <w:rPr>
          <w:lang w:val="es-ES"/>
        </w:rPr>
        <w:t xml:space="preserve"> </w:t>
      </w:r>
      <w:r w:rsidRPr="00C941F1">
        <w:t xml:space="preserve">13 de mayo de 2008, </w:t>
      </w:r>
      <w:r>
        <w:rPr>
          <w:lang w:val="es-ES"/>
        </w:rPr>
        <w:t>Magistrad</w:t>
      </w:r>
      <w:r w:rsidRPr="00764635">
        <w:rPr>
          <w:lang w:val="es-ES"/>
        </w:rPr>
        <w:t>o</w:t>
      </w:r>
      <w:r>
        <w:rPr>
          <w:lang w:val="es-ES"/>
        </w:rPr>
        <w:t xml:space="preserve"> Ponente:</w:t>
      </w:r>
      <w:r w:rsidRPr="00C941F1">
        <w:t xml:space="preserve"> César Julio Valencia Copete</w:t>
      </w:r>
      <w:r w:rsidR="00105586">
        <w:t>.</w:t>
      </w:r>
    </w:p>
    <w:p w14:paraId="5AF77FD1" w14:textId="77777777" w:rsidR="00B04120" w:rsidRDefault="00B04120" w:rsidP="00B04120">
      <w:pPr>
        <w:spacing w:line="480" w:lineRule="auto"/>
        <w:ind w:left="709" w:hanging="709"/>
        <w:rPr>
          <w:lang w:val="es-ES"/>
        </w:rPr>
      </w:pPr>
      <w:r>
        <w:rPr>
          <w:lang w:val="es-ES"/>
        </w:rPr>
        <w:t>Corte Suprema de Justicia, Sala Civil, SC</w:t>
      </w:r>
      <w:r w:rsidRPr="00764635">
        <w:rPr>
          <w:lang w:val="es-ES"/>
        </w:rPr>
        <w:t xml:space="preserve"> del 13 de</w:t>
      </w:r>
      <w:r>
        <w:rPr>
          <w:lang w:val="es-ES"/>
        </w:rPr>
        <w:t xml:space="preserve"> mayo de 2008.</w:t>
      </w:r>
    </w:p>
    <w:p w14:paraId="3226E036" w14:textId="77777777" w:rsidR="00B04120" w:rsidRDefault="00B04120" w:rsidP="00B04120">
      <w:pPr>
        <w:spacing w:line="480" w:lineRule="auto"/>
        <w:ind w:left="709" w:hanging="709"/>
        <w:rPr>
          <w:lang w:val="es-ES"/>
        </w:rPr>
      </w:pPr>
      <w:r>
        <w:rPr>
          <w:lang w:val="es-ES"/>
        </w:rPr>
        <w:t>Corte Suprema de Justicia, Sala Civil, SC</w:t>
      </w:r>
      <w:r w:rsidRPr="00764635">
        <w:rPr>
          <w:lang w:val="es-ES"/>
        </w:rPr>
        <w:t xml:space="preserve"> del</w:t>
      </w:r>
      <w:r w:rsidRPr="00B04120">
        <w:rPr>
          <w:lang w:val="es-CO"/>
        </w:rPr>
        <w:t xml:space="preserve"> 20 enero 2009, </w:t>
      </w:r>
      <w:r>
        <w:rPr>
          <w:lang w:val="es-ES"/>
        </w:rPr>
        <w:t>Magistrad</w:t>
      </w:r>
      <w:r w:rsidRPr="00764635">
        <w:rPr>
          <w:lang w:val="es-ES"/>
        </w:rPr>
        <w:t>o</w:t>
      </w:r>
      <w:r>
        <w:rPr>
          <w:lang w:val="es-ES"/>
        </w:rPr>
        <w:t xml:space="preserve"> Ponente:</w:t>
      </w:r>
      <w:r w:rsidRPr="00B04120">
        <w:rPr>
          <w:lang w:val="es-CO"/>
        </w:rPr>
        <w:t xml:space="preserve"> </w:t>
      </w:r>
      <w:r>
        <w:rPr>
          <w:lang w:val="es-ES"/>
        </w:rPr>
        <w:t>Pedro Octavio Munar Cadena</w:t>
      </w:r>
      <w:r w:rsidRPr="00B04120">
        <w:rPr>
          <w:lang w:val="es-ES"/>
        </w:rPr>
        <w:t>.</w:t>
      </w:r>
    </w:p>
    <w:p w14:paraId="395D0D1D" w14:textId="12183E5B" w:rsidR="00B04120" w:rsidRDefault="00B04120" w:rsidP="00B04120">
      <w:pPr>
        <w:spacing w:line="480" w:lineRule="auto"/>
        <w:ind w:left="709" w:hanging="709"/>
      </w:pPr>
      <w:r>
        <w:rPr>
          <w:lang w:val="es-ES"/>
        </w:rPr>
        <w:t>Corte Suprema de Justicia, Sala Civil, SC</w:t>
      </w:r>
      <w:r w:rsidRPr="00764635">
        <w:rPr>
          <w:lang w:val="es-ES"/>
        </w:rPr>
        <w:t xml:space="preserve"> </w:t>
      </w:r>
      <w:r w:rsidRPr="00AA29C4">
        <w:t>del 18 de septiembre de 2009</w:t>
      </w:r>
      <w:r>
        <w:t>.</w:t>
      </w:r>
      <w:r w:rsidR="00D218BF">
        <w:t xml:space="preserve"> Magistrado Ponente: </w:t>
      </w:r>
      <w:r w:rsidR="00D218BF" w:rsidRPr="00D218BF">
        <w:t xml:space="preserve">William </w:t>
      </w:r>
      <w:proofErr w:type="spellStart"/>
      <w:r w:rsidR="00D218BF" w:rsidRPr="00D218BF">
        <w:t>Namén</w:t>
      </w:r>
      <w:proofErr w:type="spellEnd"/>
      <w:r w:rsidR="00D218BF" w:rsidRPr="00D218BF">
        <w:t xml:space="preserve"> Vargas</w:t>
      </w:r>
      <w:r w:rsidR="00D218BF">
        <w:t>.</w:t>
      </w:r>
    </w:p>
    <w:p w14:paraId="651EA207" w14:textId="0F88994D" w:rsidR="00250442" w:rsidRPr="00E21876" w:rsidRDefault="00250442" w:rsidP="00E21876">
      <w:pPr>
        <w:spacing w:line="480" w:lineRule="auto"/>
        <w:ind w:left="709" w:hanging="709"/>
      </w:pPr>
      <w:r w:rsidRPr="00250442">
        <w:t xml:space="preserve">Corte Suprema de Justicia. Sala </w:t>
      </w:r>
      <w:r>
        <w:t>C</w:t>
      </w:r>
      <w:r w:rsidRPr="00250442">
        <w:t>ivil. SC10297</w:t>
      </w:r>
      <w:r>
        <w:t xml:space="preserve"> de </w:t>
      </w:r>
      <w:r w:rsidRPr="00250442">
        <w:t>2014. Magistrado Ponente</w:t>
      </w:r>
      <w:r>
        <w:t>:</w:t>
      </w:r>
      <w:r w:rsidRPr="00250442">
        <w:t xml:space="preserve"> Ariel Salazar Ramírez.</w:t>
      </w:r>
    </w:p>
    <w:p w14:paraId="716B9FAA" w14:textId="77777777" w:rsidR="00AA29C4" w:rsidRDefault="00AA29C4" w:rsidP="00E21876">
      <w:pPr>
        <w:spacing w:line="480" w:lineRule="auto"/>
        <w:ind w:left="709" w:hanging="709"/>
        <w:rPr>
          <w:lang w:val="es-ES"/>
        </w:rPr>
      </w:pPr>
      <w:r>
        <w:rPr>
          <w:lang w:val="es-ES"/>
        </w:rPr>
        <w:t>Corte Suprema de Justicia, Sala Civil, SC</w:t>
      </w:r>
      <w:r w:rsidRPr="00764635">
        <w:rPr>
          <w:lang w:val="es-ES"/>
        </w:rPr>
        <w:t xml:space="preserve"> del 5 de agosto de 2014</w:t>
      </w:r>
      <w:r>
        <w:rPr>
          <w:lang w:val="es-ES"/>
        </w:rPr>
        <w:t>.</w:t>
      </w:r>
      <w:r w:rsidRPr="00764635">
        <w:rPr>
          <w:lang w:val="es-ES"/>
        </w:rPr>
        <w:t xml:space="preserve"> </w:t>
      </w:r>
      <w:r>
        <w:rPr>
          <w:lang w:val="es-ES"/>
        </w:rPr>
        <w:t>Magistrad</w:t>
      </w:r>
      <w:r w:rsidRPr="00764635">
        <w:rPr>
          <w:lang w:val="es-ES"/>
        </w:rPr>
        <w:t>o</w:t>
      </w:r>
      <w:r>
        <w:rPr>
          <w:lang w:val="es-ES"/>
        </w:rPr>
        <w:t xml:space="preserve"> Ponente:</w:t>
      </w:r>
      <w:r w:rsidRPr="00764635">
        <w:rPr>
          <w:lang w:val="es-ES"/>
        </w:rPr>
        <w:t xml:space="preserve"> Ariel Salazar Ram</w:t>
      </w:r>
      <w:r>
        <w:rPr>
          <w:lang w:val="es-ES"/>
        </w:rPr>
        <w:t>í</w:t>
      </w:r>
      <w:r w:rsidRPr="00764635">
        <w:rPr>
          <w:lang w:val="es-ES"/>
        </w:rPr>
        <w:t>rez</w:t>
      </w:r>
      <w:r>
        <w:rPr>
          <w:lang w:val="es-ES"/>
        </w:rPr>
        <w:t>.</w:t>
      </w:r>
    </w:p>
    <w:p w14:paraId="115B2A4C" w14:textId="26E65E56" w:rsidR="009C0E3C" w:rsidRDefault="009C0E3C" w:rsidP="00E21876">
      <w:pPr>
        <w:spacing w:line="480" w:lineRule="auto"/>
        <w:ind w:left="709" w:hanging="709"/>
      </w:pPr>
      <w:r>
        <w:lastRenderedPageBreak/>
        <w:t xml:space="preserve">Corte Suprema de Justicia, Sala Civil, </w:t>
      </w:r>
      <w:r w:rsidRPr="009C0E3C">
        <w:t>SC</w:t>
      </w:r>
      <w:r w:rsidR="00C941F1">
        <w:t xml:space="preserve"> </w:t>
      </w:r>
      <w:r w:rsidRPr="009C0E3C">
        <w:t>2107</w:t>
      </w:r>
      <w:r>
        <w:t xml:space="preserve"> de </w:t>
      </w:r>
      <w:r w:rsidRPr="009C0E3C">
        <w:t>2018</w:t>
      </w:r>
      <w:r w:rsidR="00105586">
        <w:t>.</w:t>
      </w:r>
    </w:p>
    <w:p w14:paraId="3D33A043" w14:textId="685AFA03" w:rsidR="00D72851" w:rsidRDefault="00D72851" w:rsidP="00D72851">
      <w:pPr>
        <w:spacing w:line="480" w:lineRule="auto"/>
        <w:ind w:left="709" w:hanging="709"/>
      </w:pPr>
      <w:r>
        <w:t xml:space="preserve">Corte Suprema de Justicia, Sala Laboral, SL31989 del 9 de septiembre de 2008, Magistrado Ponente: </w:t>
      </w:r>
      <w:r w:rsidRPr="00D72851">
        <w:t>Eduardo López Villegas</w:t>
      </w:r>
      <w:r>
        <w:t>.</w:t>
      </w:r>
    </w:p>
    <w:p w14:paraId="21226877" w14:textId="6EBDD66B" w:rsidR="00E21876" w:rsidRPr="00E21876" w:rsidRDefault="00E21876" w:rsidP="00E21876">
      <w:pPr>
        <w:spacing w:line="480" w:lineRule="auto"/>
        <w:ind w:left="709" w:hanging="709"/>
      </w:pPr>
      <w:r>
        <w:t xml:space="preserve">Corte Suprema de Justicia, Sala Laboral, </w:t>
      </w:r>
      <w:r w:rsidRPr="00E21876">
        <w:t>SL 49741</w:t>
      </w:r>
      <w:r w:rsidR="00250442">
        <w:t xml:space="preserve"> </w:t>
      </w:r>
      <w:r w:rsidRPr="00E21876">
        <w:t>de 2013</w:t>
      </w:r>
      <w:r w:rsidR="00105586">
        <w:t>.</w:t>
      </w:r>
    </w:p>
    <w:p w14:paraId="400E4ED5" w14:textId="03D7AFAA" w:rsidR="00E21876" w:rsidRPr="00E21876" w:rsidRDefault="00E21876" w:rsidP="00E21876">
      <w:pPr>
        <w:spacing w:line="480" w:lineRule="auto"/>
        <w:ind w:left="709" w:hanging="709"/>
      </w:pPr>
      <w:r>
        <w:t xml:space="preserve">Corte Suprema de Justicia, Sala Laboral, </w:t>
      </w:r>
      <w:r w:rsidRPr="00E21876">
        <w:t>SL 12136 del 2014</w:t>
      </w:r>
      <w:r w:rsidR="00105586">
        <w:t>.</w:t>
      </w:r>
    </w:p>
    <w:p w14:paraId="7FF324A8" w14:textId="56DC9CC6" w:rsidR="00E21876" w:rsidRPr="00E21876" w:rsidRDefault="00E21876" w:rsidP="00E21876">
      <w:pPr>
        <w:spacing w:line="480" w:lineRule="auto"/>
        <w:ind w:left="709" w:hanging="709"/>
      </w:pPr>
      <w:r>
        <w:t xml:space="preserve">Corte Suprema de Justicia, Sala Laboral, </w:t>
      </w:r>
      <w:r w:rsidRPr="00E21876">
        <w:t>SL 4629</w:t>
      </w:r>
      <w:r w:rsidR="00F27455">
        <w:t>2 del 03 de septiembre del 2014, Magistrada Ponente:</w:t>
      </w:r>
      <w:r w:rsidR="00F27455" w:rsidRPr="00F27455">
        <w:t xml:space="preserve"> Elsy Del Pilar Cuello Calderón</w:t>
      </w:r>
      <w:r w:rsidR="00F27455">
        <w:t>.</w:t>
      </w:r>
    </w:p>
    <w:p w14:paraId="2DD234B9" w14:textId="6F796B5F" w:rsidR="00E21876" w:rsidRPr="00E21876" w:rsidRDefault="00E21876" w:rsidP="00E21876">
      <w:pPr>
        <w:spacing w:line="480" w:lineRule="auto"/>
        <w:ind w:left="709" w:hanging="709"/>
      </w:pPr>
      <w:r>
        <w:t xml:space="preserve">Corte Suprema de Justicia, Sala Laboral, </w:t>
      </w:r>
      <w:r w:rsidRPr="00E21876">
        <w:t>SL 19447 del 27 de septiembre del 2017</w:t>
      </w:r>
      <w:r w:rsidR="00105586">
        <w:t>.</w:t>
      </w:r>
    </w:p>
    <w:p w14:paraId="743D6210" w14:textId="2018FD98" w:rsidR="00E21876" w:rsidRPr="00E21876" w:rsidRDefault="00E21876" w:rsidP="00E21876">
      <w:pPr>
        <w:spacing w:line="480" w:lineRule="auto"/>
        <w:ind w:left="709" w:hanging="709"/>
      </w:pPr>
      <w:r>
        <w:t xml:space="preserve">Corte Suprema de Justicia, Sala Laboral, </w:t>
      </w:r>
      <w:r w:rsidRPr="00E21876">
        <w:t>SL 17595 del 18 de octubre del 2017</w:t>
      </w:r>
      <w:r w:rsidR="00105586">
        <w:t>.</w:t>
      </w:r>
    </w:p>
    <w:p w14:paraId="7F89736C" w14:textId="19B99B16" w:rsidR="00FA7A58" w:rsidRPr="00E21876" w:rsidRDefault="00FA7A58" w:rsidP="00FA7A58">
      <w:pPr>
        <w:spacing w:line="480" w:lineRule="auto"/>
        <w:ind w:left="709" w:hanging="709"/>
      </w:pPr>
      <w:r>
        <w:t xml:space="preserve">Corte Suprema de Justicia, Sala Laboral, </w:t>
      </w:r>
      <w:r w:rsidRPr="00FA7A58">
        <w:t>SL</w:t>
      </w:r>
      <w:r>
        <w:t xml:space="preserve"> </w:t>
      </w:r>
      <w:r w:rsidRPr="00FA7A58">
        <w:t>413</w:t>
      </w:r>
      <w:r>
        <w:t xml:space="preserve"> del </w:t>
      </w:r>
      <w:r w:rsidRPr="00FA7A58">
        <w:t>21 de febrero de 2018</w:t>
      </w:r>
      <w:r>
        <w:t>, Magistrado Ponente: Clara Cecilia Dueñas Quevedo.</w:t>
      </w:r>
    </w:p>
    <w:p w14:paraId="71E7FD3D" w14:textId="673017D4" w:rsidR="00E21876" w:rsidRPr="00E21876" w:rsidRDefault="00E21876" w:rsidP="00E21876">
      <w:pPr>
        <w:spacing w:line="480" w:lineRule="auto"/>
        <w:ind w:left="709" w:hanging="709"/>
      </w:pPr>
      <w:r>
        <w:t xml:space="preserve">Corte Suprema de Justicia, Sala Laboral, </w:t>
      </w:r>
      <w:r w:rsidRPr="00E21876">
        <w:t xml:space="preserve">SL 4296 del 2018. </w:t>
      </w:r>
    </w:p>
    <w:p w14:paraId="6BEB0FE8" w14:textId="3B0F0F96" w:rsidR="00E21876" w:rsidRPr="00E21876" w:rsidRDefault="00E21876" w:rsidP="00E21876">
      <w:pPr>
        <w:spacing w:line="480" w:lineRule="auto"/>
        <w:ind w:left="709" w:hanging="709"/>
      </w:pPr>
      <w:r>
        <w:t xml:space="preserve">Corte Suprema de Justicia, Sala Laboral, </w:t>
      </w:r>
      <w:r w:rsidRPr="00E21876">
        <w:t>SL 4964 del 2018.</w:t>
      </w:r>
    </w:p>
    <w:p w14:paraId="33CE3623" w14:textId="79C58137" w:rsidR="00E21876" w:rsidRPr="00E21876" w:rsidRDefault="00E21876" w:rsidP="00E21876">
      <w:pPr>
        <w:spacing w:line="480" w:lineRule="auto"/>
        <w:ind w:left="709" w:hanging="709"/>
      </w:pPr>
      <w:r>
        <w:t xml:space="preserve">Corte Suprema de Justicia, Sala Laboral, </w:t>
      </w:r>
      <w:r w:rsidRPr="00E21876">
        <w:t>SL 4689 del 2018</w:t>
      </w:r>
      <w:r w:rsidR="00105586">
        <w:t>.</w:t>
      </w:r>
    </w:p>
    <w:p w14:paraId="08FFA420" w14:textId="28FB0262" w:rsidR="00E21876" w:rsidRPr="00E21876" w:rsidRDefault="00E21876" w:rsidP="00E21876">
      <w:pPr>
        <w:spacing w:line="480" w:lineRule="auto"/>
        <w:ind w:left="709" w:hanging="709"/>
      </w:pPr>
      <w:r>
        <w:t xml:space="preserve">Corte Suprema de Justicia, Sala Laboral, </w:t>
      </w:r>
      <w:r w:rsidRPr="00E21876">
        <w:t>SL 4989 del 2018</w:t>
      </w:r>
      <w:r w:rsidR="00105586">
        <w:t>.</w:t>
      </w:r>
    </w:p>
    <w:p w14:paraId="52481712" w14:textId="0414ADF8" w:rsidR="00E21876" w:rsidRDefault="00E21876" w:rsidP="00E21876">
      <w:pPr>
        <w:spacing w:line="480" w:lineRule="auto"/>
        <w:ind w:left="709" w:hanging="709"/>
      </w:pPr>
      <w:r>
        <w:t xml:space="preserve">Corte Suprema de Justicia, Sala Laboral, </w:t>
      </w:r>
      <w:r w:rsidRPr="00E21876">
        <w:t>SL 1421del 10 de abril del 2019</w:t>
      </w:r>
      <w:r w:rsidR="00105586">
        <w:t>.</w:t>
      </w:r>
    </w:p>
    <w:p w14:paraId="6728F970" w14:textId="555DAE41" w:rsidR="00F92F9B" w:rsidRPr="00E21876" w:rsidRDefault="00F92F9B" w:rsidP="00F92F9B">
      <w:pPr>
        <w:spacing w:line="480" w:lineRule="auto"/>
        <w:ind w:left="709" w:hanging="709"/>
      </w:pPr>
      <w:r>
        <w:t xml:space="preserve">Corte Suprema de Justicia, Sala Laboral, </w:t>
      </w:r>
      <w:r w:rsidRPr="00E21876">
        <w:t>SL 14</w:t>
      </w:r>
      <w:r>
        <w:t>5</w:t>
      </w:r>
      <w:r w:rsidRPr="00E21876">
        <w:t>2</w:t>
      </w:r>
      <w:r>
        <w:t xml:space="preserve"> </w:t>
      </w:r>
      <w:r w:rsidRPr="00E21876">
        <w:t xml:space="preserve">del </w:t>
      </w:r>
      <w:r>
        <w:t xml:space="preserve">3 </w:t>
      </w:r>
      <w:r w:rsidRPr="00E21876">
        <w:t>de abril del 2019</w:t>
      </w:r>
      <w:r>
        <w:t>.</w:t>
      </w:r>
    </w:p>
    <w:p w14:paraId="32A9F744" w14:textId="4097368E" w:rsidR="00E21876" w:rsidRPr="00E21876" w:rsidRDefault="00E21876" w:rsidP="00E21876">
      <w:pPr>
        <w:spacing w:line="480" w:lineRule="auto"/>
        <w:ind w:left="709" w:hanging="709"/>
      </w:pPr>
      <w:r>
        <w:t xml:space="preserve">Corte Suprema de Justicia, Sala Laboral, </w:t>
      </w:r>
      <w:r w:rsidRPr="00E21876">
        <w:t>SL 361 del 2019</w:t>
      </w:r>
      <w:r w:rsidR="00105586">
        <w:t>.</w:t>
      </w:r>
    </w:p>
    <w:p w14:paraId="50FDC572" w14:textId="1C39380A" w:rsidR="00E21876" w:rsidRDefault="00E21876" w:rsidP="00E21876">
      <w:pPr>
        <w:spacing w:line="480" w:lineRule="auto"/>
        <w:ind w:left="709" w:hanging="709"/>
      </w:pPr>
      <w:r>
        <w:t xml:space="preserve">Corte Suprema de Justicia, Sala Laboral, </w:t>
      </w:r>
      <w:r w:rsidRPr="00E21876">
        <w:t>SL 1689 del 08 de mayo de 2019</w:t>
      </w:r>
      <w:r w:rsidR="00105586">
        <w:t>.</w:t>
      </w:r>
    </w:p>
    <w:p w14:paraId="576F4158" w14:textId="03FE55FD" w:rsidR="008B2097" w:rsidRPr="00EF109D" w:rsidRDefault="008B2097" w:rsidP="00E21876">
      <w:pPr>
        <w:spacing w:line="480" w:lineRule="auto"/>
        <w:ind w:left="709" w:hanging="709"/>
        <w:rPr>
          <w:lang w:val="es-CO"/>
        </w:rPr>
      </w:pPr>
      <w:r>
        <w:t>Corte Suprema de Justicia, Sala Laboral,</w:t>
      </w:r>
      <w:r w:rsidRPr="008B2097">
        <w:rPr>
          <w:lang w:val="es-CO"/>
        </w:rPr>
        <w:t xml:space="preserve"> SL 4933 del 30 de octubre de 2019.</w:t>
      </w:r>
      <w:r>
        <w:rPr>
          <w:lang w:val="es-CO"/>
        </w:rPr>
        <w:t xml:space="preserve"> Magistrado Ponente:</w:t>
      </w:r>
      <w:r w:rsidRPr="008B2097">
        <w:rPr>
          <w:lang w:val="es-CO"/>
        </w:rPr>
        <w:t xml:space="preserve"> </w:t>
      </w:r>
      <w:r w:rsidRPr="00EF109D">
        <w:rPr>
          <w:lang w:val="es-CO"/>
        </w:rPr>
        <w:t>Donald José Dix Ponnefz.</w:t>
      </w:r>
    </w:p>
    <w:p w14:paraId="210DE20A" w14:textId="0BC2091A" w:rsidR="00105586" w:rsidRDefault="00105586" w:rsidP="00E21876">
      <w:pPr>
        <w:spacing w:line="480" w:lineRule="auto"/>
        <w:ind w:left="709" w:hanging="709"/>
      </w:pPr>
      <w:r w:rsidRPr="00105586">
        <w:t xml:space="preserve">Estatuto </w:t>
      </w:r>
      <w:r>
        <w:t>O</w:t>
      </w:r>
      <w:r w:rsidRPr="00105586">
        <w:t>rgánico</w:t>
      </w:r>
      <w:r>
        <w:t xml:space="preserve"> del Sistema F</w:t>
      </w:r>
      <w:r w:rsidRPr="00105586">
        <w:t>inanciero</w:t>
      </w:r>
      <w:r>
        <w:t>. Diario Oficial No. 40.820</w:t>
      </w:r>
      <w:r w:rsidRPr="00105586">
        <w:t xml:space="preserve"> del 5 de abril de 1993</w:t>
      </w:r>
      <w:r>
        <w:t>. Bogotá, Colombia.</w:t>
      </w:r>
    </w:p>
    <w:p w14:paraId="6018A72E" w14:textId="77777777" w:rsidR="00105586" w:rsidRPr="00105586" w:rsidRDefault="00105586" w:rsidP="00105586">
      <w:pPr>
        <w:spacing w:line="480" w:lineRule="auto"/>
        <w:ind w:left="709" w:hanging="709"/>
        <w:rPr>
          <w:lang w:val="es-CO"/>
        </w:rPr>
      </w:pPr>
      <w:r>
        <w:rPr>
          <w:lang w:val="es-CO"/>
        </w:rPr>
        <w:lastRenderedPageBreak/>
        <w:t>Decreto 656 de</w:t>
      </w:r>
      <w:r w:rsidRPr="00105586">
        <w:rPr>
          <w:lang w:val="es-CO"/>
        </w:rPr>
        <w:t xml:space="preserve"> 199</w:t>
      </w:r>
      <w:r>
        <w:rPr>
          <w:lang w:val="es-CO"/>
        </w:rPr>
        <w:t xml:space="preserve">4 </w:t>
      </w:r>
      <w:r w:rsidRPr="00105586">
        <w:rPr>
          <w:lang w:val="es-CO"/>
        </w:rPr>
        <w:t>Diari</w:t>
      </w:r>
      <w:r>
        <w:rPr>
          <w:lang w:val="es-CO"/>
        </w:rPr>
        <w:t>o Oficial No 41.283</w:t>
      </w:r>
      <w:r w:rsidRPr="00105586">
        <w:rPr>
          <w:lang w:val="es-CO"/>
        </w:rPr>
        <w:t xml:space="preserve"> del 25 de marzo de 1994</w:t>
      </w:r>
      <w:r>
        <w:rPr>
          <w:lang w:val="es-CO"/>
        </w:rPr>
        <w:t>. Bogotá Colombia.</w:t>
      </w:r>
    </w:p>
    <w:p w14:paraId="71DF3D22" w14:textId="1FB2DDD0" w:rsidR="00105586" w:rsidRDefault="00105586" w:rsidP="00E21876">
      <w:pPr>
        <w:spacing w:line="480" w:lineRule="auto"/>
        <w:ind w:left="709" w:hanging="709"/>
        <w:rPr>
          <w:lang w:val="es-CO"/>
        </w:rPr>
      </w:pPr>
      <w:r w:rsidRPr="00105586">
        <w:rPr>
          <w:lang w:val="es-CO"/>
        </w:rPr>
        <w:t>Decreto 720 del 7 de abril de 1994</w:t>
      </w:r>
      <w:r>
        <w:rPr>
          <w:lang w:val="es-CO"/>
        </w:rPr>
        <w:t xml:space="preserve">. </w:t>
      </w:r>
      <w:r w:rsidRPr="00105586">
        <w:rPr>
          <w:lang w:val="es-CO"/>
        </w:rPr>
        <w:t>Diario Oficial No 41.300</w:t>
      </w:r>
      <w:r>
        <w:rPr>
          <w:lang w:val="es-CO"/>
        </w:rPr>
        <w:t xml:space="preserve"> </w:t>
      </w:r>
      <w:r w:rsidRPr="00105586">
        <w:rPr>
          <w:lang w:val="es-CO"/>
        </w:rPr>
        <w:t>del 7 de abril de 1994</w:t>
      </w:r>
      <w:r>
        <w:rPr>
          <w:lang w:val="es-CO"/>
        </w:rPr>
        <w:t>. Bogotá, Colombia.</w:t>
      </w:r>
    </w:p>
    <w:p w14:paraId="3565BC44" w14:textId="548FADC3" w:rsidR="00CA3B34" w:rsidRDefault="00CA3B34" w:rsidP="00E21876">
      <w:pPr>
        <w:spacing w:line="480" w:lineRule="auto"/>
        <w:ind w:left="709" w:hanging="709"/>
      </w:pPr>
      <w:r w:rsidRPr="00CA3B34">
        <w:t xml:space="preserve">Definición de </w:t>
      </w:r>
      <w:r w:rsidR="00C534C3">
        <w:t xml:space="preserve">afiliación </w:t>
      </w:r>
      <w:r w:rsidRPr="00CA3B34">
        <w:t xml:space="preserve">- Diccionario </w:t>
      </w:r>
      <w:r>
        <w:t>del español jurídico - RAE. (20</w:t>
      </w:r>
      <w:r w:rsidR="00434097">
        <w:t>20</w:t>
      </w:r>
      <w:r w:rsidRPr="00CA3B34">
        <w:t xml:space="preserve">). </w:t>
      </w:r>
      <w:r w:rsidR="00434097">
        <w:t xml:space="preserve">Tomado de: </w:t>
      </w:r>
      <w:hyperlink r:id="rId10" w:history="1">
        <w:r w:rsidR="00C534C3" w:rsidRPr="00B62FF4">
          <w:rPr>
            <w:rStyle w:val="Hipervnculo"/>
          </w:rPr>
          <w:t>https://dej.rae.es/lema/afiliacion</w:t>
        </w:r>
      </w:hyperlink>
    </w:p>
    <w:p w14:paraId="775F290C" w14:textId="23558F01" w:rsidR="00C534C3" w:rsidRDefault="00C534C3" w:rsidP="00E21876">
      <w:pPr>
        <w:spacing w:line="480" w:lineRule="auto"/>
        <w:ind w:left="709" w:hanging="709"/>
        <w:rPr>
          <w:rStyle w:val="Hipervnculo"/>
          <w:lang w:val="es-CO"/>
        </w:rPr>
      </w:pPr>
      <w:r w:rsidRPr="00C534C3">
        <w:t>Diccionario de la lengua española</w:t>
      </w:r>
      <w:r w:rsidRPr="00C534C3">
        <w:rPr>
          <w:lang w:val="es-CO"/>
        </w:rPr>
        <w:t xml:space="preserve"> - Trasladar </w:t>
      </w:r>
      <w:r>
        <w:rPr>
          <w:lang w:val="es-CO"/>
        </w:rPr>
        <w:t>(</w:t>
      </w:r>
      <w:r w:rsidRPr="00C534C3">
        <w:rPr>
          <w:lang w:val="es-CO"/>
        </w:rPr>
        <w:t>2020)</w:t>
      </w:r>
      <w:r>
        <w:rPr>
          <w:lang w:val="es-CO"/>
        </w:rPr>
        <w:t>.</w:t>
      </w:r>
      <w:r w:rsidRPr="00C534C3">
        <w:rPr>
          <w:lang w:val="es-CO"/>
        </w:rPr>
        <w:t xml:space="preserve"> </w:t>
      </w:r>
      <w:r>
        <w:rPr>
          <w:lang w:val="es-CO"/>
        </w:rPr>
        <w:t>Tomado de:</w:t>
      </w:r>
      <w:r w:rsidRPr="00C534C3">
        <w:rPr>
          <w:lang w:val="es-CO"/>
        </w:rPr>
        <w:t xml:space="preserve"> </w:t>
      </w:r>
      <w:hyperlink r:id="rId11" w:history="1">
        <w:r w:rsidRPr="00B62FF4">
          <w:rPr>
            <w:rStyle w:val="Hipervnculo"/>
            <w:lang w:val="es-CO"/>
          </w:rPr>
          <w:t>https://dle.rae.es/trasladar</w:t>
        </w:r>
      </w:hyperlink>
    </w:p>
    <w:p w14:paraId="24BC4706" w14:textId="5C2C1C08" w:rsidR="00250442" w:rsidRDefault="00250442" w:rsidP="00E21876">
      <w:pPr>
        <w:spacing w:line="480" w:lineRule="auto"/>
        <w:ind w:left="709" w:hanging="709"/>
        <w:rPr>
          <w:lang w:val="es-CO"/>
        </w:rPr>
      </w:pPr>
      <w:r>
        <w:rPr>
          <w:lang w:val="es-CO"/>
        </w:rPr>
        <w:t>Isaza, M. De la C</w:t>
      </w:r>
      <w:r w:rsidRPr="00250442">
        <w:rPr>
          <w:lang w:val="es-CO"/>
        </w:rPr>
        <w:t xml:space="preserve">uantificación del </w:t>
      </w:r>
      <w:r>
        <w:rPr>
          <w:lang w:val="es-CO"/>
        </w:rPr>
        <w:t>D</w:t>
      </w:r>
      <w:r w:rsidRPr="00250442">
        <w:rPr>
          <w:lang w:val="es-CO"/>
        </w:rPr>
        <w:t>año</w:t>
      </w:r>
      <w:r>
        <w:rPr>
          <w:lang w:val="es-CO"/>
        </w:rPr>
        <w:t>, Manual T</w:t>
      </w:r>
      <w:r w:rsidRPr="00250442">
        <w:rPr>
          <w:lang w:val="es-CO"/>
        </w:rPr>
        <w:t>e</w:t>
      </w:r>
      <w:r>
        <w:rPr>
          <w:lang w:val="es-CO"/>
        </w:rPr>
        <w:t>ó</w:t>
      </w:r>
      <w:r w:rsidRPr="00250442">
        <w:rPr>
          <w:lang w:val="es-CO"/>
        </w:rPr>
        <w:t xml:space="preserve">rico </w:t>
      </w:r>
      <w:r>
        <w:rPr>
          <w:lang w:val="es-CO"/>
        </w:rPr>
        <w:t>Prá</w:t>
      </w:r>
      <w:r w:rsidRPr="00250442">
        <w:rPr>
          <w:lang w:val="es-CO"/>
        </w:rPr>
        <w:t>ctico</w:t>
      </w:r>
      <w:r>
        <w:rPr>
          <w:lang w:val="es-CO"/>
        </w:rPr>
        <w:t xml:space="preserve"> (2018)</w:t>
      </w:r>
      <w:r w:rsidRPr="00250442">
        <w:rPr>
          <w:lang w:val="es-CO"/>
        </w:rPr>
        <w:t>. Quinta edición. Temis</w:t>
      </w:r>
      <w:r>
        <w:rPr>
          <w:lang w:val="es-CO"/>
        </w:rPr>
        <w:t>.</w:t>
      </w:r>
    </w:p>
    <w:p w14:paraId="289C0B17" w14:textId="44C367FC" w:rsidR="00D218BF" w:rsidRDefault="00D218BF" w:rsidP="00105586">
      <w:pPr>
        <w:spacing w:line="480" w:lineRule="auto"/>
        <w:ind w:left="709" w:hanging="709"/>
        <w:rPr>
          <w:lang w:val="es-CO"/>
        </w:rPr>
      </w:pPr>
      <w:r>
        <w:rPr>
          <w:lang w:val="es-CO"/>
        </w:rPr>
        <w:t xml:space="preserve">Ley 100 de 1993, </w:t>
      </w:r>
      <w:r w:rsidRPr="00D218BF">
        <w:rPr>
          <w:lang w:val="es-CO"/>
        </w:rPr>
        <w:t>Diario Oficial No. 41.148 de 23 de diciembre de 1993</w:t>
      </w:r>
      <w:r w:rsidR="00105586">
        <w:rPr>
          <w:lang w:val="es-CO"/>
        </w:rPr>
        <w:t>, Bogotá. Colombia.</w:t>
      </w:r>
    </w:p>
    <w:p w14:paraId="5AD54E91" w14:textId="317834A4" w:rsidR="0055433A" w:rsidRDefault="0055433A" w:rsidP="00C20A70">
      <w:pPr>
        <w:spacing w:line="480" w:lineRule="auto"/>
        <w:ind w:left="709" w:hanging="709"/>
        <w:rPr>
          <w:lang w:val="es-CO"/>
        </w:rPr>
      </w:pPr>
      <w:r>
        <w:rPr>
          <w:lang w:val="es-CO"/>
        </w:rPr>
        <w:t xml:space="preserve">Ley 964 de 2005, </w:t>
      </w:r>
      <w:r w:rsidRPr="0055433A">
        <w:rPr>
          <w:lang w:val="es-CO"/>
        </w:rPr>
        <w:t>Diario Oficial No. 45.963 de 08 de julio de 2005</w:t>
      </w:r>
      <w:r>
        <w:rPr>
          <w:lang w:val="es-CO"/>
        </w:rPr>
        <w:t xml:space="preserve">, </w:t>
      </w:r>
      <w:r w:rsidRPr="0055433A">
        <w:rPr>
          <w:lang w:val="es-CO"/>
        </w:rPr>
        <w:t>Bogotá. Colombia.</w:t>
      </w:r>
    </w:p>
    <w:p w14:paraId="0050942E" w14:textId="6E7A7CD4" w:rsidR="00C20A70" w:rsidRDefault="00C20A70" w:rsidP="00C20A70">
      <w:pPr>
        <w:spacing w:line="480" w:lineRule="auto"/>
        <w:ind w:left="709" w:hanging="709"/>
        <w:rPr>
          <w:lang w:val="es-CO"/>
        </w:rPr>
      </w:pPr>
      <w:r>
        <w:rPr>
          <w:lang w:val="es-CO"/>
        </w:rPr>
        <w:t xml:space="preserve">Ley 1328 de 2009, </w:t>
      </w:r>
      <w:r w:rsidRPr="00C20A70">
        <w:rPr>
          <w:lang w:val="es-CO"/>
        </w:rPr>
        <w:t>Diario Oficial No. 47.411 de 15 de julio de 2009</w:t>
      </w:r>
      <w:r>
        <w:rPr>
          <w:lang w:val="es-CO"/>
        </w:rPr>
        <w:t>, Bogotá. Colombia.</w:t>
      </w:r>
    </w:p>
    <w:p w14:paraId="46F04C9B" w14:textId="1F21882C" w:rsidR="008B2097" w:rsidRDefault="008B2097" w:rsidP="008B2097">
      <w:pPr>
        <w:spacing w:line="480" w:lineRule="auto"/>
        <w:ind w:left="709" w:hanging="709"/>
        <w:rPr>
          <w:lang w:val="es-CO"/>
        </w:rPr>
      </w:pPr>
      <w:r w:rsidRPr="008B2097">
        <w:rPr>
          <w:lang w:val="es-CO"/>
        </w:rPr>
        <w:t>Sentencia 053 del 3 de Marzo del 2020. Radicado  05001310500620180031000. Juez Sexta Laboral del Circuito de Medellín: María Josefina Guarín Garzón</w:t>
      </w:r>
      <w:r>
        <w:rPr>
          <w:lang w:val="es-CO"/>
        </w:rPr>
        <w:t>.</w:t>
      </w:r>
    </w:p>
    <w:p w14:paraId="47F30C85" w14:textId="580E719F" w:rsidR="00B27A19" w:rsidRDefault="00B27A19" w:rsidP="008B2097">
      <w:pPr>
        <w:spacing w:line="480" w:lineRule="auto"/>
        <w:ind w:left="709" w:hanging="709"/>
        <w:rPr>
          <w:lang w:val="es-CO"/>
        </w:rPr>
      </w:pPr>
      <w:r>
        <w:rPr>
          <w:lang w:val="es-CO"/>
        </w:rPr>
        <w:t>Superintendencia Financiera de Colombia. Circular Externa 016 de 2</w:t>
      </w:r>
      <w:r w:rsidR="00682298">
        <w:rPr>
          <w:lang w:val="es-CO"/>
        </w:rPr>
        <w:t>016.</w:t>
      </w:r>
    </w:p>
    <w:p w14:paraId="03989812" w14:textId="17C45539" w:rsidR="00A43108" w:rsidRDefault="00A43108" w:rsidP="008B2097">
      <w:pPr>
        <w:spacing w:line="480" w:lineRule="auto"/>
        <w:ind w:left="709" w:hanging="709"/>
      </w:pPr>
      <w:r>
        <w:rPr>
          <w:lang w:val="es-CO"/>
        </w:rPr>
        <w:t xml:space="preserve">Superintendencia Financiera de Colombia. </w:t>
      </w:r>
      <w:r>
        <w:t>Concepto 2008003491-001 del 1 de febrero de 2008.</w:t>
      </w:r>
    </w:p>
    <w:p w14:paraId="40368D34" w14:textId="0901412D" w:rsidR="00D218BF" w:rsidRPr="00AB0F9E" w:rsidRDefault="00B27A19" w:rsidP="00AB0F9E">
      <w:pPr>
        <w:spacing w:line="480" w:lineRule="auto"/>
        <w:ind w:left="709" w:hanging="709"/>
      </w:pPr>
      <w:r>
        <w:t>Superintendencia Financiera de Colombia. Comunicado de Prensa del 28 de abril de 2016.</w:t>
      </w:r>
    </w:p>
    <w:p w14:paraId="79F35802" w14:textId="77777777" w:rsidR="00C534C3" w:rsidRPr="00C534C3" w:rsidRDefault="00C534C3" w:rsidP="00E21876">
      <w:pPr>
        <w:spacing w:line="480" w:lineRule="auto"/>
        <w:ind w:left="709" w:hanging="709"/>
        <w:rPr>
          <w:lang w:val="es-CO"/>
        </w:rPr>
      </w:pPr>
    </w:p>
    <w:p w14:paraId="75359B01" w14:textId="77777777" w:rsidR="00C534C3" w:rsidRPr="00C534C3" w:rsidRDefault="00C534C3" w:rsidP="00E21876">
      <w:pPr>
        <w:spacing w:line="480" w:lineRule="auto"/>
        <w:ind w:left="709" w:hanging="709"/>
        <w:rPr>
          <w:lang w:val="es-CO"/>
        </w:rPr>
      </w:pPr>
    </w:p>
    <w:p w14:paraId="53604C70" w14:textId="77777777" w:rsidR="00E21876" w:rsidRPr="00105586" w:rsidRDefault="00E21876" w:rsidP="00105586">
      <w:pPr>
        <w:spacing w:line="480" w:lineRule="auto"/>
        <w:ind w:left="709" w:hanging="709"/>
        <w:rPr>
          <w:lang w:val="es-CO"/>
        </w:rPr>
      </w:pPr>
    </w:p>
    <w:sectPr w:rsidR="00E21876" w:rsidRPr="00105586" w:rsidSect="00715474">
      <w:pgSz w:w="12240" w:h="15840"/>
      <w:pgMar w:top="1418" w:right="1418" w:bottom="1418" w:left="1418" w:header="709" w:footer="709" w:gutter="1134"/>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4045091" w16cid:durableId="2279F9DC"/>
  <w16cid:commentId w16cid:paraId="405886FD" w16cid:durableId="227A135A"/>
  <w16cid:commentId w16cid:paraId="43F7E7F3" w16cid:durableId="2279291A"/>
  <w16cid:commentId w16cid:paraId="78AE28C2" w16cid:durableId="2279291B"/>
  <w16cid:commentId w16cid:paraId="2D53918E" w16cid:durableId="227A4F5F"/>
  <w16cid:commentId w16cid:paraId="404157AE" w16cid:durableId="2279291D"/>
  <w16cid:commentId w16cid:paraId="3A58F675" w16cid:durableId="227A5E64"/>
</w16cid:commentsIds>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3E3540E" w14:textId="77777777" w:rsidR="00890CA6" w:rsidRDefault="00890CA6" w:rsidP="00786296">
      <w:r>
        <w:separator/>
      </w:r>
    </w:p>
  </w:endnote>
  <w:endnote w:type="continuationSeparator" w:id="0">
    <w:p w14:paraId="18A8F5A4" w14:textId="77777777" w:rsidR="00890CA6" w:rsidRDefault="00890CA6" w:rsidP="007862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Century Gothic">
    <w:panose1 w:val="020B0502020202020204"/>
    <w:charset w:val="00"/>
    <w:family w:val="auto"/>
    <w:pitch w:val="variable"/>
    <w:sig w:usb0="00000287" w:usb1="00000000" w:usb2="00000000" w:usb3="00000000" w:csb0="0000009F" w:csb1="00000000"/>
  </w:font>
  <w:font w:name="Calibri">
    <w:panose1 w:val="020F0502020204030204"/>
    <w:charset w:val="00"/>
    <w:family w:val="auto"/>
    <w:pitch w:val="variable"/>
    <w:sig w:usb0="E00002FF" w:usb1="4000ACFF" w:usb2="00000001" w:usb3="00000000" w:csb0="0000019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Tahoma">
    <w:panose1 w:val="020B0604030504040204"/>
    <w:charset w:val="00"/>
    <w:family w:val="auto"/>
    <w:pitch w:val="variable"/>
    <w:sig w:usb0="E1002EFF" w:usb1="C000605B" w:usb2="00000029" w:usb3="00000000" w:csb0="000101FF" w:csb1="00000000"/>
  </w:font>
  <w:font w:name="Dotum">
    <w:panose1 w:val="020B0600000101010101"/>
    <w:charset w:val="81"/>
    <w:family w:val="auto"/>
    <w:pitch w:val="variable"/>
    <w:sig w:usb0="B00002AF" w:usb1="69D77CFB" w:usb2="00000030" w:usb3="00000000" w:csb0="0008009F" w:csb1="00000000"/>
  </w:font>
  <w:font w:name="Arial Unicode MS">
    <w:panose1 w:val="020B0604020202020204"/>
    <w:charset w:val="00"/>
    <w:family w:val="auto"/>
    <w:pitch w:val="variable"/>
    <w:sig w:usb0="F7FFAFFF" w:usb1="E9DFFFFF" w:usb2="0000003F" w:usb3="00000000" w:csb0="003F01FF" w:csb1="00000000"/>
  </w:font>
  <w:font w:name="ＭＳ ゴシック">
    <w:charset w:val="80"/>
    <w:family w:val="auto"/>
    <w:pitch w:val="variable"/>
    <w:sig w:usb0="E00002FF" w:usb1="6AC7FDFB" w:usb2="08000012" w:usb3="00000000" w:csb0="0002009F" w:csb1="00000000"/>
  </w:font>
  <w:font w:name="Calibri Light">
    <w:panose1 w:val="020F0302020204030204"/>
    <w:charset w:val="00"/>
    <w:family w:val="auto"/>
    <w:pitch w:val="variable"/>
    <w:sig w:usb0="A00002EF" w:usb1="4000207B" w:usb2="00000000" w:usb3="00000000" w:csb0="0000019F" w:csb1="00000000"/>
  </w:font>
  <w:font w:name="ＭＳ 明朝">
    <w:charset w:val="80"/>
    <w:family w:val="auto"/>
    <w:pitch w:val="variable"/>
    <w:sig w:usb0="E00002FF" w:usb1="6AC7FDFB" w:usb2="08000012" w:usb3="00000000" w:csb0="000200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DA2A4D5" w14:textId="77777777" w:rsidR="00890CA6" w:rsidRDefault="00890CA6" w:rsidP="00786296">
      <w:r>
        <w:separator/>
      </w:r>
    </w:p>
  </w:footnote>
  <w:footnote w:type="continuationSeparator" w:id="0">
    <w:p w14:paraId="3828F3F2" w14:textId="77777777" w:rsidR="00890CA6" w:rsidRDefault="00890CA6" w:rsidP="00786296">
      <w:r>
        <w:continuationSeparator/>
      </w:r>
    </w:p>
  </w:footnote>
  <w:footnote w:id="1">
    <w:p w14:paraId="2F3851A4" w14:textId="05FB4C8D" w:rsidR="00712063" w:rsidRPr="00747DAF" w:rsidRDefault="00712063">
      <w:pPr>
        <w:pStyle w:val="Textonotapie"/>
        <w:rPr>
          <w:lang w:val="es-CO"/>
        </w:rPr>
      </w:pPr>
      <w:r w:rsidRPr="00747DAF">
        <w:rPr>
          <w:rStyle w:val="Refdenotaalpie"/>
        </w:rPr>
        <w:footnoteRef/>
      </w:r>
      <w:r w:rsidRPr="00747DAF">
        <w:t xml:space="preserve"> Véanse las siguientes normas: Artículo</w:t>
      </w:r>
      <w:r w:rsidRPr="00747DAF">
        <w:rPr>
          <w:lang w:val="es-ES"/>
        </w:rPr>
        <w:t xml:space="preserve"> 66 de la ley 489 de 1998; decretos 2739 de 1991, 663 de 1993; ley 964 de 2005.</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FA6000"/>
    <w:multiLevelType w:val="hybridMultilevel"/>
    <w:tmpl w:val="02BC3B5E"/>
    <w:lvl w:ilvl="0" w:tplc="C9289AFE">
      <w:start w:val="1"/>
      <w:numFmt w:val="decimal"/>
      <w:lvlText w:val="%1)"/>
      <w:lvlJc w:val="left"/>
      <w:pPr>
        <w:ind w:left="358" w:hanging="360"/>
      </w:pPr>
      <w:rPr>
        <w:rFonts w:hint="default"/>
      </w:rPr>
    </w:lvl>
    <w:lvl w:ilvl="1" w:tplc="240A0019" w:tentative="1">
      <w:start w:val="1"/>
      <w:numFmt w:val="lowerLetter"/>
      <w:lvlText w:val="%2."/>
      <w:lvlJc w:val="left"/>
      <w:pPr>
        <w:ind w:left="1078" w:hanging="360"/>
      </w:pPr>
    </w:lvl>
    <w:lvl w:ilvl="2" w:tplc="240A001B" w:tentative="1">
      <w:start w:val="1"/>
      <w:numFmt w:val="lowerRoman"/>
      <w:lvlText w:val="%3."/>
      <w:lvlJc w:val="right"/>
      <w:pPr>
        <w:ind w:left="1798" w:hanging="180"/>
      </w:pPr>
    </w:lvl>
    <w:lvl w:ilvl="3" w:tplc="240A000F" w:tentative="1">
      <w:start w:val="1"/>
      <w:numFmt w:val="decimal"/>
      <w:lvlText w:val="%4."/>
      <w:lvlJc w:val="left"/>
      <w:pPr>
        <w:ind w:left="2518" w:hanging="360"/>
      </w:pPr>
    </w:lvl>
    <w:lvl w:ilvl="4" w:tplc="240A0019" w:tentative="1">
      <w:start w:val="1"/>
      <w:numFmt w:val="lowerLetter"/>
      <w:lvlText w:val="%5."/>
      <w:lvlJc w:val="left"/>
      <w:pPr>
        <w:ind w:left="3238" w:hanging="360"/>
      </w:pPr>
    </w:lvl>
    <w:lvl w:ilvl="5" w:tplc="240A001B" w:tentative="1">
      <w:start w:val="1"/>
      <w:numFmt w:val="lowerRoman"/>
      <w:lvlText w:val="%6."/>
      <w:lvlJc w:val="right"/>
      <w:pPr>
        <w:ind w:left="3958" w:hanging="180"/>
      </w:pPr>
    </w:lvl>
    <w:lvl w:ilvl="6" w:tplc="240A000F" w:tentative="1">
      <w:start w:val="1"/>
      <w:numFmt w:val="decimal"/>
      <w:lvlText w:val="%7."/>
      <w:lvlJc w:val="left"/>
      <w:pPr>
        <w:ind w:left="4678" w:hanging="360"/>
      </w:pPr>
    </w:lvl>
    <w:lvl w:ilvl="7" w:tplc="240A0019" w:tentative="1">
      <w:start w:val="1"/>
      <w:numFmt w:val="lowerLetter"/>
      <w:lvlText w:val="%8."/>
      <w:lvlJc w:val="left"/>
      <w:pPr>
        <w:ind w:left="5398" w:hanging="360"/>
      </w:pPr>
    </w:lvl>
    <w:lvl w:ilvl="8" w:tplc="240A001B" w:tentative="1">
      <w:start w:val="1"/>
      <w:numFmt w:val="lowerRoman"/>
      <w:lvlText w:val="%9."/>
      <w:lvlJc w:val="right"/>
      <w:pPr>
        <w:ind w:left="6118" w:hanging="180"/>
      </w:pPr>
    </w:lvl>
  </w:abstractNum>
  <w:abstractNum w:abstractNumId="1">
    <w:nsid w:val="0E2423AC"/>
    <w:multiLevelType w:val="multilevel"/>
    <w:tmpl w:val="3F981160"/>
    <w:lvl w:ilvl="0">
      <w:start w:val="1"/>
      <w:numFmt w:val="decimal"/>
      <w:lvlText w:val="%1."/>
      <w:lvlJc w:val="left"/>
      <w:pPr>
        <w:ind w:left="720" w:hanging="360"/>
      </w:pPr>
      <w:rPr>
        <w:rFonts w:ascii="Century Gothic" w:eastAsia="Century Gothic" w:hAnsi="Century Gothic" w:cs="Century Gothic"/>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nsid w:val="0EE229AA"/>
    <w:multiLevelType w:val="hybridMultilevel"/>
    <w:tmpl w:val="A61AC74E"/>
    <w:lvl w:ilvl="0" w:tplc="240A0011">
      <w:start w:val="1"/>
      <w:numFmt w:val="decimal"/>
      <w:lvlText w:val="%1)"/>
      <w:lvlJc w:val="left"/>
      <w:pPr>
        <w:ind w:left="502" w:hanging="360"/>
      </w:pPr>
      <w:rPr>
        <w:rFonts w:hint="default"/>
        <w:sz w:val="24"/>
      </w:rPr>
    </w:lvl>
    <w:lvl w:ilvl="1" w:tplc="240A0019" w:tentative="1">
      <w:start w:val="1"/>
      <w:numFmt w:val="lowerLetter"/>
      <w:lvlText w:val="%2."/>
      <w:lvlJc w:val="left"/>
      <w:pPr>
        <w:ind w:left="1789" w:hanging="360"/>
      </w:pPr>
    </w:lvl>
    <w:lvl w:ilvl="2" w:tplc="240A001B" w:tentative="1">
      <w:start w:val="1"/>
      <w:numFmt w:val="lowerRoman"/>
      <w:lvlText w:val="%3."/>
      <w:lvlJc w:val="right"/>
      <w:pPr>
        <w:ind w:left="2509" w:hanging="180"/>
      </w:pPr>
    </w:lvl>
    <w:lvl w:ilvl="3" w:tplc="240A000F" w:tentative="1">
      <w:start w:val="1"/>
      <w:numFmt w:val="decimal"/>
      <w:lvlText w:val="%4."/>
      <w:lvlJc w:val="left"/>
      <w:pPr>
        <w:ind w:left="3229" w:hanging="360"/>
      </w:pPr>
    </w:lvl>
    <w:lvl w:ilvl="4" w:tplc="240A0019" w:tentative="1">
      <w:start w:val="1"/>
      <w:numFmt w:val="lowerLetter"/>
      <w:lvlText w:val="%5."/>
      <w:lvlJc w:val="left"/>
      <w:pPr>
        <w:ind w:left="3949" w:hanging="360"/>
      </w:pPr>
    </w:lvl>
    <w:lvl w:ilvl="5" w:tplc="240A001B" w:tentative="1">
      <w:start w:val="1"/>
      <w:numFmt w:val="lowerRoman"/>
      <w:lvlText w:val="%6."/>
      <w:lvlJc w:val="right"/>
      <w:pPr>
        <w:ind w:left="4669" w:hanging="180"/>
      </w:pPr>
    </w:lvl>
    <w:lvl w:ilvl="6" w:tplc="240A000F" w:tentative="1">
      <w:start w:val="1"/>
      <w:numFmt w:val="decimal"/>
      <w:lvlText w:val="%7."/>
      <w:lvlJc w:val="left"/>
      <w:pPr>
        <w:ind w:left="5389" w:hanging="360"/>
      </w:pPr>
    </w:lvl>
    <w:lvl w:ilvl="7" w:tplc="240A0019" w:tentative="1">
      <w:start w:val="1"/>
      <w:numFmt w:val="lowerLetter"/>
      <w:lvlText w:val="%8."/>
      <w:lvlJc w:val="left"/>
      <w:pPr>
        <w:ind w:left="6109" w:hanging="360"/>
      </w:pPr>
    </w:lvl>
    <w:lvl w:ilvl="8" w:tplc="240A001B" w:tentative="1">
      <w:start w:val="1"/>
      <w:numFmt w:val="lowerRoman"/>
      <w:lvlText w:val="%9."/>
      <w:lvlJc w:val="right"/>
      <w:pPr>
        <w:ind w:left="6829" w:hanging="180"/>
      </w:pPr>
    </w:lvl>
  </w:abstractNum>
  <w:abstractNum w:abstractNumId="3">
    <w:nsid w:val="12A9041C"/>
    <w:multiLevelType w:val="hybridMultilevel"/>
    <w:tmpl w:val="FED86060"/>
    <w:lvl w:ilvl="0" w:tplc="17903306">
      <w:start w:val="7"/>
      <w:numFmt w:val="bullet"/>
      <w:lvlText w:val="-"/>
      <w:lvlJc w:val="left"/>
      <w:pPr>
        <w:ind w:left="720" w:hanging="360"/>
      </w:pPr>
      <w:rPr>
        <w:rFonts w:ascii="Century Gothic" w:eastAsiaTheme="minorHAnsi" w:hAnsi="Century Gothic" w:cstheme="minorBidi"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
    <w:nsid w:val="13BF4359"/>
    <w:multiLevelType w:val="hybridMultilevel"/>
    <w:tmpl w:val="599C40BC"/>
    <w:lvl w:ilvl="0" w:tplc="240A0017">
      <w:start w:val="1"/>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5">
    <w:nsid w:val="14C03AE8"/>
    <w:multiLevelType w:val="hybridMultilevel"/>
    <w:tmpl w:val="ED72B24A"/>
    <w:lvl w:ilvl="0" w:tplc="8DB25B52">
      <w:start w:val="1"/>
      <w:numFmt w:val="decimal"/>
      <w:lvlText w:val="%1."/>
      <w:lvlJc w:val="left"/>
      <w:pPr>
        <w:ind w:left="720" w:hanging="360"/>
      </w:pPr>
      <w:rPr>
        <w:rFonts w:eastAsia="Century Gothic"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6">
    <w:nsid w:val="18B179EE"/>
    <w:multiLevelType w:val="hybridMultilevel"/>
    <w:tmpl w:val="521A1022"/>
    <w:lvl w:ilvl="0" w:tplc="240A0011">
      <w:start w:val="1"/>
      <w:numFmt w:val="decimal"/>
      <w:lvlText w:val="%1)"/>
      <w:lvlJc w:val="left"/>
      <w:pPr>
        <w:ind w:left="720" w:hanging="360"/>
      </w:pPr>
      <w:rPr>
        <w:rFont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7">
    <w:nsid w:val="23745BA6"/>
    <w:multiLevelType w:val="multilevel"/>
    <w:tmpl w:val="5EBA9996"/>
    <w:lvl w:ilvl="0">
      <w:start w:val="1"/>
      <w:numFmt w:val="decimal"/>
      <w:lvlText w:val="%1."/>
      <w:lvlJc w:val="left"/>
      <w:pPr>
        <w:ind w:left="720" w:hanging="360"/>
      </w:pPr>
      <w:rPr>
        <w:rFonts w:ascii="Times New Roman" w:eastAsia="Century Gothic" w:hAnsi="Times New Roman" w:cs="Times New Roman" w:hint="default"/>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nsid w:val="2A5F279B"/>
    <w:multiLevelType w:val="hybridMultilevel"/>
    <w:tmpl w:val="B2BEBF84"/>
    <w:lvl w:ilvl="0" w:tplc="C9289AFE">
      <w:start w:val="1"/>
      <w:numFmt w:val="decimal"/>
      <w:lvlText w:val="%1)"/>
      <w:lvlJc w:val="left"/>
      <w:pPr>
        <w:ind w:left="358" w:hanging="360"/>
      </w:pPr>
      <w:rPr>
        <w:rFonts w:hint="default"/>
      </w:rPr>
    </w:lvl>
    <w:lvl w:ilvl="1" w:tplc="240A0017">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nsid w:val="2BFC1276"/>
    <w:multiLevelType w:val="hybridMultilevel"/>
    <w:tmpl w:val="284C2EEC"/>
    <w:lvl w:ilvl="0" w:tplc="240A0011">
      <w:start w:val="1"/>
      <w:numFmt w:val="decimal"/>
      <w:lvlText w:val="%1)"/>
      <w:lvlJc w:val="left"/>
      <w:pPr>
        <w:ind w:left="1080" w:hanging="360"/>
      </w:pPr>
      <w:rPr>
        <w:rFonts w:hint="default"/>
        <w:b/>
        <w:lang w:val="es-ES_tradnl"/>
      </w:rPr>
    </w:lvl>
    <w:lvl w:ilvl="1" w:tplc="240A0017">
      <w:start w:val="1"/>
      <w:numFmt w:val="lowerLetter"/>
      <w:lvlText w:val="%2)"/>
      <w:lvlJc w:val="left"/>
      <w:pPr>
        <w:ind w:left="1800" w:hanging="360"/>
      </w:pPr>
      <w:rPr>
        <w:rFonts w:hint="default"/>
      </w:rPr>
    </w:lvl>
    <w:lvl w:ilvl="2" w:tplc="040A0005" w:tentative="1">
      <w:start w:val="1"/>
      <w:numFmt w:val="bullet"/>
      <w:lvlText w:val=""/>
      <w:lvlJc w:val="left"/>
      <w:pPr>
        <w:ind w:left="2520" w:hanging="360"/>
      </w:pPr>
      <w:rPr>
        <w:rFonts w:ascii="Wingdings" w:hAnsi="Wingdings" w:hint="default"/>
      </w:rPr>
    </w:lvl>
    <w:lvl w:ilvl="3" w:tplc="040A0001" w:tentative="1">
      <w:start w:val="1"/>
      <w:numFmt w:val="bullet"/>
      <w:lvlText w:val=""/>
      <w:lvlJc w:val="left"/>
      <w:pPr>
        <w:ind w:left="3240" w:hanging="360"/>
      </w:pPr>
      <w:rPr>
        <w:rFonts w:ascii="Symbol" w:hAnsi="Symbol" w:hint="default"/>
      </w:rPr>
    </w:lvl>
    <w:lvl w:ilvl="4" w:tplc="040A0003" w:tentative="1">
      <w:start w:val="1"/>
      <w:numFmt w:val="bullet"/>
      <w:lvlText w:val="o"/>
      <w:lvlJc w:val="left"/>
      <w:pPr>
        <w:ind w:left="3960" w:hanging="360"/>
      </w:pPr>
      <w:rPr>
        <w:rFonts w:ascii="Courier New" w:hAnsi="Courier New" w:cs="Courier New" w:hint="default"/>
      </w:rPr>
    </w:lvl>
    <w:lvl w:ilvl="5" w:tplc="040A0005" w:tentative="1">
      <w:start w:val="1"/>
      <w:numFmt w:val="bullet"/>
      <w:lvlText w:val=""/>
      <w:lvlJc w:val="left"/>
      <w:pPr>
        <w:ind w:left="4680" w:hanging="360"/>
      </w:pPr>
      <w:rPr>
        <w:rFonts w:ascii="Wingdings" w:hAnsi="Wingdings" w:hint="default"/>
      </w:rPr>
    </w:lvl>
    <w:lvl w:ilvl="6" w:tplc="040A0001" w:tentative="1">
      <w:start w:val="1"/>
      <w:numFmt w:val="bullet"/>
      <w:lvlText w:val=""/>
      <w:lvlJc w:val="left"/>
      <w:pPr>
        <w:ind w:left="5400" w:hanging="360"/>
      </w:pPr>
      <w:rPr>
        <w:rFonts w:ascii="Symbol" w:hAnsi="Symbol" w:hint="default"/>
      </w:rPr>
    </w:lvl>
    <w:lvl w:ilvl="7" w:tplc="040A0003" w:tentative="1">
      <w:start w:val="1"/>
      <w:numFmt w:val="bullet"/>
      <w:lvlText w:val="o"/>
      <w:lvlJc w:val="left"/>
      <w:pPr>
        <w:ind w:left="6120" w:hanging="360"/>
      </w:pPr>
      <w:rPr>
        <w:rFonts w:ascii="Courier New" w:hAnsi="Courier New" w:cs="Courier New" w:hint="default"/>
      </w:rPr>
    </w:lvl>
    <w:lvl w:ilvl="8" w:tplc="040A0005" w:tentative="1">
      <w:start w:val="1"/>
      <w:numFmt w:val="bullet"/>
      <w:lvlText w:val=""/>
      <w:lvlJc w:val="left"/>
      <w:pPr>
        <w:ind w:left="6840" w:hanging="360"/>
      </w:pPr>
      <w:rPr>
        <w:rFonts w:ascii="Wingdings" w:hAnsi="Wingdings" w:hint="default"/>
      </w:rPr>
    </w:lvl>
  </w:abstractNum>
  <w:abstractNum w:abstractNumId="10">
    <w:nsid w:val="338252D4"/>
    <w:multiLevelType w:val="hybridMultilevel"/>
    <w:tmpl w:val="9FB44842"/>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3623227E"/>
    <w:multiLevelType w:val="hybridMultilevel"/>
    <w:tmpl w:val="62E44952"/>
    <w:lvl w:ilvl="0" w:tplc="C9289AFE">
      <w:start w:val="1"/>
      <w:numFmt w:val="decimal"/>
      <w:lvlText w:val="%1)"/>
      <w:lvlJc w:val="left"/>
      <w:pPr>
        <w:ind w:left="358"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nsid w:val="36D36A59"/>
    <w:multiLevelType w:val="hybridMultilevel"/>
    <w:tmpl w:val="951008D6"/>
    <w:lvl w:ilvl="0" w:tplc="240A0011">
      <w:start w:val="1"/>
      <w:numFmt w:val="decimal"/>
      <w:lvlText w:val="%1)"/>
      <w:lvlJc w:val="left"/>
      <w:pPr>
        <w:ind w:left="1080" w:hanging="360"/>
      </w:pPr>
      <w:rPr>
        <w:rFonts w:hint="default"/>
        <w:b w:val="0"/>
        <w:lang w:val="es-ES_tradnl"/>
      </w:rPr>
    </w:lvl>
    <w:lvl w:ilvl="1" w:tplc="17903306">
      <w:start w:val="7"/>
      <w:numFmt w:val="bullet"/>
      <w:lvlText w:val="-"/>
      <w:lvlJc w:val="left"/>
      <w:pPr>
        <w:ind w:left="1800" w:hanging="360"/>
      </w:pPr>
      <w:rPr>
        <w:rFonts w:ascii="Century Gothic" w:eastAsiaTheme="minorHAnsi" w:hAnsi="Century Gothic" w:cstheme="minorBidi" w:hint="default"/>
      </w:rPr>
    </w:lvl>
    <w:lvl w:ilvl="2" w:tplc="040A0005" w:tentative="1">
      <w:start w:val="1"/>
      <w:numFmt w:val="bullet"/>
      <w:lvlText w:val=""/>
      <w:lvlJc w:val="left"/>
      <w:pPr>
        <w:ind w:left="2520" w:hanging="360"/>
      </w:pPr>
      <w:rPr>
        <w:rFonts w:ascii="Wingdings" w:hAnsi="Wingdings" w:hint="default"/>
      </w:rPr>
    </w:lvl>
    <w:lvl w:ilvl="3" w:tplc="040A0001" w:tentative="1">
      <w:start w:val="1"/>
      <w:numFmt w:val="bullet"/>
      <w:lvlText w:val=""/>
      <w:lvlJc w:val="left"/>
      <w:pPr>
        <w:ind w:left="3240" w:hanging="360"/>
      </w:pPr>
      <w:rPr>
        <w:rFonts w:ascii="Symbol" w:hAnsi="Symbol" w:hint="default"/>
      </w:rPr>
    </w:lvl>
    <w:lvl w:ilvl="4" w:tplc="040A0003" w:tentative="1">
      <w:start w:val="1"/>
      <w:numFmt w:val="bullet"/>
      <w:lvlText w:val="o"/>
      <w:lvlJc w:val="left"/>
      <w:pPr>
        <w:ind w:left="3960" w:hanging="360"/>
      </w:pPr>
      <w:rPr>
        <w:rFonts w:ascii="Courier New" w:hAnsi="Courier New" w:cs="Courier New" w:hint="default"/>
      </w:rPr>
    </w:lvl>
    <w:lvl w:ilvl="5" w:tplc="040A0005" w:tentative="1">
      <w:start w:val="1"/>
      <w:numFmt w:val="bullet"/>
      <w:lvlText w:val=""/>
      <w:lvlJc w:val="left"/>
      <w:pPr>
        <w:ind w:left="4680" w:hanging="360"/>
      </w:pPr>
      <w:rPr>
        <w:rFonts w:ascii="Wingdings" w:hAnsi="Wingdings" w:hint="default"/>
      </w:rPr>
    </w:lvl>
    <w:lvl w:ilvl="6" w:tplc="040A0001" w:tentative="1">
      <w:start w:val="1"/>
      <w:numFmt w:val="bullet"/>
      <w:lvlText w:val=""/>
      <w:lvlJc w:val="left"/>
      <w:pPr>
        <w:ind w:left="5400" w:hanging="360"/>
      </w:pPr>
      <w:rPr>
        <w:rFonts w:ascii="Symbol" w:hAnsi="Symbol" w:hint="default"/>
      </w:rPr>
    </w:lvl>
    <w:lvl w:ilvl="7" w:tplc="040A0003" w:tentative="1">
      <w:start w:val="1"/>
      <w:numFmt w:val="bullet"/>
      <w:lvlText w:val="o"/>
      <w:lvlJc w:val="left"/>
      <w:pPr>
        <w:ind w:left="6120" w:hanging="360"/>
      </w:pPr>
      <w:rPr>
        <w:rFonts w:ascii="Courier New" w:hAnsi="Courier New" w:cs="Courier New" w:hint="default"/>
      </w:rPr>
    </w:lvl>
    <w:lvl w:ilvl="8" w:tplc="040A0005" w:tentative="1">
      <w:start w:val="1"/>
      <w:numFmt w:val="bullet"/>
      <w:lvlText w:val=""/>
      <w:lvlJc w:val="left"/>
      <w:pPr>
        <w:ind w:left="6840" w:hanging="360"/>
      </w:pPr>
      <w:rPr>
        <w:rFonts w:ascii="Wingdings" w:hAnsi="Wingdings" w:hint="default"/>
      </w:rPr>
    </w:lvl>
  </w:abstractNum>
  <w:abstractNum w:abstractNumId="13">
    <w:nsid w:val="39070C9A"/>
    <w:multiLevelType w:val="multilevel"/>
    <w:tmpl w:val="B4E8B672"/>
    <w:lvl w:ilvl="0">
      <w:start w:val="1"/>
      <w:numFmt w:val="decimal"/>
      <w:lvlText w:val="%1."/>
      <w:lvlJc w:val="left"/>
      <w:pPr>
        <w:ind w:left="720" w:hanging="360"/>
      </w:pPr>
      <w:rPr>
        <w:rFonts w:ascii="Times New Roman" w:eastAsia="Century Gothic" w:hAnsi="Times New Roman" w:cs="Times New Roman" w:hint="default"/>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nsid w:val="39DE27AB"/>
    <w:multiLevelType w:val="multilevel"/>
    <w:tmpl w:val="1B32BAD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3DFA617E"/>
    <w:multiLevelType w:val="hybridMultilevel"/>
    <w:tmpl w:val="5E1E1EBC"/>
    <w:lvl w:ilvl="0" w:tplc="040A0019">
      <w:start w:val="1"/>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6">
    <w:nsid w:val="43111F5C"/>
    <w:multiLevelType w:val="hybridMultilevel"/>
    <w:tmpl w:val="62E44952"/>
    <w:lvl w:ilvl="0" w:tplc="C9289AFE">
      <w:start w:val="1"/>
      <w:numFmt w:val="decimal"/>
      <w:lvlText w:val="%1)"/>
      <w:lvlJc w:val="left"/>
      <w:pPr>
        <w:ind w:left="358"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nsid w:val="457D04BC"/>
    <w:multiLevelType w:val="hybridMultilevel"/>
    <w:tmpl w:val="4A54D62E"/>
    <w:lvl w:ilvl="0" w:tplc="240A0011">
      <w:start w:val="1"/>
      <w:numFmt w:val="decimal"/>
      <w:lvlText w:val="%1)"/>
      <w:lvlJc w:val="left"/>
      <w:pPr>
        <w:ind w:left="720" w:hanging="360"/>
      </w:pPr>
      <w:rPr>
        <w:rFont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8">
    <w:nsid w:val="46F152AF"/>
    <w:multiLevelType w:val="hybridMultilevel"/>
    <w:tmpl w:val="FCC8188E"/>
    <w:lvl w:ilvl="0" w:tplc="3F40D424">
      <w:numFmt w:val="bullet"/>
      <w:lvlText w:val="·"/>
      <w:lvlJc w:val="left"/>
      <w:pPr>
        <w:ind w:left="913" w:hanging="915"/>
      </w:pPr>
      <w:rPr>
        <w:rFonts w:ascii="Times New Roman" w:eastAsia="Century Gothic" w:hAnsi="Times New Roman" w:cs="Times New Roman" w:hint="default"/>
      </w:rPr>
    </w:lvl>
    <w:lvl w:ilvl="1" w:tplc="240A0003" w:tentative="1">
      <w:start w:val="1"/>
      <w:numFmt w:val="bullet"/>
      <w:lvlText w:val="o"/>
      <w:lvlJc w:val="left"/>
      <w:pPr>
        <w:ind w:left="1078" w:hanging="360"/>
      </w:pPr>
      <w:rPr>
        <w:rFonts w:ascii="Courier New" w:hAnsi="Courier New" w:cs="Courier New" w:hint="default"/>
      </w:rPr>
    </w:lvl>
    <w:lvl w:ilvl="2" w:tplc="240A0005" w:tentative="1">
      <w:start w:val="1"/>
      <w:numFmt w:val="bullet"/>
      <w:lvlText w:val=""/>
      <w:lvlJc w:val="left"/>
      <w:pPr>
        <w:ind w:left="1798" w:hanging="360"/>
      </w:pPr>
      <w:rPr>
        <w:rFonts w:ascii="Wingdings" w:hAnsi="Wingdings" w:hint="default"/>
      </w:rPr>
    </w:lvl>
    <w:lvl w:ilvl="3" w:tplc="240A0001" w:tentative="1">
      <w:start w:val="1"/>
      <w:numFmt w:val="bullet"/>
      <w:lvlText w:val=""/>
      <w:lvlJc w:val="left"/>
      <w:pPr>
        <w:ind w:left="2518" w:hanging="360"/>
      </w:pPr>
      <w:rPr>
        <w:rFonts w:ascii="Symbol" w:hAnsi="Symbol" w:hint="default"/>
      </w:rPr>
    </w:lvl>
    <w:lvl w:ilvl="4" w:tplc="240A0003" w:tentative="1">
      <w:start w:val="1"/>
      <w:numFmt w:val="bullet"/>
      <w:lvlText w:val="o"/>
      <w:lvlJc w:val="left"/>
      <w:pPr>
        <w:ind w:left="3238" w:hanging="360"/>
      </w:pPr>
      <w:rPr>
        <w:rFonts w:ascii="Courier New" w:hAnsi="Courier New" w:cs="Courier New" w:hint="default"/>
      </w:rPr>
    </w:lvl>
    <w:lvl w:ilvl="5" w:tplc="240A0005" w:tentative="1">
      <w:start w:val="1"/>
      <w:numFmt w:val="bullet"/>
      <w:lvlText w:val=""/>
      <w:lvlJc w:val="left"/>
      <w:pPr>
        <w:ind w:left="3958" w:hanging="360"/>
      </w:pPr>
      <w:rPr>
        <w:rFonts w:ascii="Wingdings" w:hAnsi="Wingdings" w:hint="default"/>
      </w:rPr>
    </w:lvl>
    <w:lvl w:ilvl="6" w:tplc="240A0001" w:tentative="1">
      <w:start w:val="1"/>
      <w:numFmt w:val="bullet"/>
      <w:lvlText w:val=""/>
      <w:lvlJc w:val="left"/>
      <w:pPr>
        <w:ind w:left="4678" w:hanging="360"/>
      </w:pPr>
      <w:rPr>
        <w:rFonts w:ascii="Symbol" w:hAnsi="Symbol" w:hint="default"/>
      </w:rPr>
    </w:lvl>
    <w:lvl w:ilvl="7" w:tplc="240A0003" w:tentative="1">
      <w:start w:val="1"/>
      <w:numFmt w:val="bullet"/>
      <w:lvlText w:val="o"/>
      <w:lvlJc w:val="left"/>
      <w:pPr>
        <w:ind w:left="5398" w:hanging="360"/>
      </w:pPr>
      <w:rPr>
        <w:rFonts w:ascii="Courier New" w:hAnsi="Courier New" w:cs="Courier New" w:hint="default"/>
      </w:rPr>
    </w:lvl>
    <w:lvl w:ilvl="8" w:tplc="240A0005" w:tentative="1">
      <w:start w:val="1"/>
      <w:numFmt w:val="bullet"/>
      <w:lvlText w:val=""/>
      <w:lvlJc w:val="left"/>
      <w:pPr>
        <w:ind w:left="6118" w:hanging="360"/>
      </w:pPr>
      <w:rPr>
        <w:rFonts w:ascii="Wingdings" w:hAnsi="Wingdings" w:hint="default"/>
      </w:rPr>
    </w:lvl>
  </w:abstractNum>
  <w:abstractNum w:abstractNumId="19">
    <w:nsid w:val="47524563"/>
    <w:multiLevelType w:val="hybridMultilevel"/>
    <w:tmpl w:val="8F4A6BA4"/>
    <w:lvl w:ilvl="0" w:tplc="240A0017">
      <w:start w:val="1"/>
      <w:numFmt w:val="lowerLetter"/>
      <w:lvlText w:val="%1)"/>
      <w:lvlJc w:val="left"/>
      <w:pPr>
        <w:ind w:left="1074" w:hanging="360"/>
      </w:pPr>
      <w:rPr>
        <w:rFonts w:hint="default"/>
      </w:rPr>
    </w:lvl>
    <w:lvl w:ilvl="1" w:tplc="040A0019" w:tentative="1">
      <w:start w:val="1"/>
      <w:numFmt w:val="lowerLetter"/>
      <w:lvlText w:val="%2."/>
      <w:lvlJc w:val="left"/>
      <w:pPr>
        <w:ind w:left="1794" w:hanging="360"/>
      </w:pPr>
    </w:lvl>
    <w:lvl w:ilvl="2" w:tplc="040A001B" w:tentative="1">
      <w:start w:val="1"/>
      <w:numFmt w:val="lowerRoman"/>
      <w:lvlText w:val="%3."/>
      <w:lvlJc w:val="right"/>
      <w:pPr>
        <w:ind w:left="2514" w:hanging="180"/>
      </w:pPr>
    </w:lvl>
    <w:lvl w:ilvl="3" w:tplc="040A000F" w:tentative="1">
      <w:start w:val="1"/>
      <w:numFmt w:val="decimal"/>
      <w:lvlText w:val="%4."/>
      <w:lvlJc w:val="left"/>
      <w:pPr>
        <w:ind w:left="3234" w:hanging="360"/>
      </w:pPr>
    </w:lvl>
    <w:lvl w:ilvl="4" w:tplc="040A0019" w:tentative="1">
      <w:start w:val="1"/>
      <w:numFmt w:val="lowerLetter"/>
      <w:lvlText w:val="%5."/>
      <w:lvlJc w:val="left"/>
      <w:pPr>
        <w:ind w:left="3954" w:hanging="360"/>
      </w:pPr>
    </w:lvl>
    <w:lvl w:ilvl="5" w:tplc="040A001B" w:tentative="1">
      <w:start w:val="1"/>
      <w:numFmt w:val="lowerRoman"/>
      <w:lvlText w:val="%6."/>
      <w:lvlJc w:val="right"/>
      <w:pPr>
        <w:ind w:left="4674" w:hanging="180"/>
      </w:pPr>
    </w:lvl>
    <w:lvl w:ilvl="6" w:tplc="040A000F" w:tentative="1">
      <w:start w:val="1"/>
      <w:numFmt w:val="decimal"/>
      <w:lvlText w:val="%7."/>
      <w:lvlJc w:val="left"/>
      <w:pPr>
        <w:ind w:left="5394" w:hanging="360"/>
      </w:pPr>
    </w:lvl>
    <w:lvl w:ilvl="7" w:tplc="040A0019" w:tentative="1">
      <w:start w:val="1"/>
      <w:numFmt w:val="lowerLetter"/>
      <w:lvlText w:val="%8."/>
      <w:lvlJc w:val="left"/>
      <w:pPr>
        <w:ind w:left="6114" w:hanging="360"/>
      </w:pPr>
    </w:lvl>
    <w:lvl w:ilvl="8" w:tplc="040A001B" w:tentative="1">
      <w:start w:val="1"/>
      <w:numFmt w:val="lowerRoman"/>
      <w:lvlText w:val="%9."/>
      <w:lvlJc w:val="right"/>
      <w:pPr>
        <w:ind w:left="6834" w:hanging="180"/>
      </w:pPr>
    </w:lvl>
  </w:abstractNum>
  <w:abstractNum w:abstractNumId="20">
    <w:nsid w:val="48D560DD"/>
    <w:multiLevelType w:val="multilevel"/>
    <w:tmpl w:val="66123FDA"/>
    <w:lvl w:ilvl="0">
      <w:start w:val="7"/>
      <w:numFmt w:val="bullet"/>
      <w:lvlText w:val="-"/>
      <w:lvlJc w:val="left"/>
      <w:pPr>
        <w:tabs>
          <w:tab w:val="num" w:pos="720"/>
        </w:tabs>
        <w:ind w:left="720" w:hanging="360"/>
      </w:pPr>
      <w:rPr>
        <w:rFonts w:ascii="Century Gothic" w:eastAsiaTheme="minorHAnsi" w:hAnsi="Century Gothic" w:cstheme="minorBidi" w:hint="default"/>
        <w:sz w:val="20"/>
      </w:rPr>
    </w:lvl>
    <w:lvl w:ilvl="1">
      <w:numFmt w:val="bullet"/>
      <w:lvlText w:val="•"/>
      <w:lvlJc w:val="left"/>
      <w:pPr>
        <w:ind w:left="1785" w:hanging="705"/>
      </w:pPr>
      <w:rPr>
        <w:rFonts w:ascii="Times New Roman" w:eastAsiaTheme="minorHAnsi" w:hAnsi="Times New Roman" w:cs="Times New Roman" w:hint="default"/>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4BF835FC"/>
    <w:multiLevelType w:val="multilevel"/>
    <w:tmpl w:val="5436ED42"/>
    <w:lvl w:ilvl="0">
      <w:start w:val="1"/>
      <w:numFmt w:val="decimal"/>
      <w:lvlText w:val="%1."/>
      <w:lvlJc w:val="left"/>
      <w:pPr>
        <w:ind w:left="720" w:hanging="360"/>
      </w:pPr>
      <w:rPr>
        <w:rFonts w:ascii="Times New Roman" w:eastAsia="Century Gothic" w:hAnsi="Times New Roman" w:cs="Times New Roman" w:hint="default"/>
        <w:b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2">
    <w:nsid w:val="50311B8F"/>
    <w:multiLevelType w:val="hybridMultilevel"/>
    <w:tmpl w:val="A3149F62"/>
    <w:lvl w:ilvl="0" w:tplc="CD581DB2">
      <w:start w:val="22"/>
      <w:numFmt w:val="bullet"/>
      <w:lvlText w:val="-"/>
      <w:lvlJc w:val="left"/>
      <w:pPr>
        <w:ind w:left="720" w:hanging="360"/>
      </w:pPr>
      <w:rPr>
        <w:rFonts w:ascii="Times New Roman" w:eastAsiaTheme="minorHAnsi" w:hAnsi="Times New Roman" w:cs="Times New Roman"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3">
    <w:nsid w:val="51C653CE"/>
    <w:multiLevelType w:val="hybridMultilevel"/>
    <w:tmpl w:val="931406D0"/>
    <w:lvl w:ilvl="0" w:tplc="D64A54F4">
      <w:start w:val="19"/>
      <w:numFmt w:val="bullet"/>
      <w:lvlText w:val="-"/>
      <w:lvlJc w:val="left"/>
      <w:pPr>
        <w:ind w:left="358" w:hanging="360"/>
      </w:pPr>
      <w:rPr>
        <w:rFonts w:ascii="Times New Roman" w:eastAsia="Century Gothic" w:hAnsi="Times New Roman" w:cs="Times New Roman" w:hint="default"/>
      </w:rPr>
    </w:lvl>
    <w:lvl w:ilvl="1" w:tplc="040A0003" w:tentative="1">
      <w:start w:val="1"/>
      <w:numFmt w:val="bullet"/>
      <w:lvlText w:val="o"/>
      <w:lvlJc w:val="left"/>
      <w:pPr>
        <w:ind w:left="1078" w:hanging="360"/>
      </w:pPr>
      <w:rPr>
        <w:rFonts w:ascii="Courier New" w:hAnsi="Courier New" w:cs="Courier New" w:hint="default"/>
      </w:rPr>
    </w:lvl>
    <w:lvl w:ilvl="2" w:tplc="040A0005" w:tentative="1">
      <w:start w:val="1"/>
      <w:numFmt w:val="bullet"/>
      <w:lvlText w:val=""/>
      <w:lvlJc w:val="left"/>
      <w:pPr>
        <w:ind w:left="1798" w:hanging="360"/>
      </w:pPr>
      <w:rPr>
        <w:rFonts w:ascii="Wingdings" w:hAnsi="Wingdings" w:hint="default"/>
      </w:rPr>
    </w:lvl>
    <w:lvl w:ilvl="3" w:tplc="040A0001" w:tentative="1">
      <w:start w:val="1"/>
      <w:numFmt w:val="bullet"/>
      <w:lvlText w:val=""/>
      <w:lvlJc w:val="left"/>
      <w:pPr>
        <w:ind w:left="2518" w:hanging="360"/>
      </w:pPr>
      <w:rPr>
        <w:rFonts w:ascii="Symbol" w:hAnsi="Symbol" w:hint="default"/>
      </w:rPr>
    </w:lvl>
    <w:lvl w:ilvl="4" w:tplc="040A0003" w:tentative="1">
      <w:start w:val="1"/>
      <w:numFmt w:val="bullet"/>
      <w:lvlText w:val="o"/>
      <w:lvlJc w:val="left"/>
      <w:pPr>
        <w:ind w:left="3238" w:hanging="360"/>
      </w:pPr>
      <w:rPr>
        <w:rFonts w:ascii="Courier New" w:hAnsi="Courier New" w:cs="Courier New" w:hint="default"/>
      </w:rPr>
    </w:lvl>
    <w:lvl w:ilvl="5" w:tplc="040A0005" w:tentative="1">
      <w:start w:val="1"/>
      <w:numFmt w:val="bullet"/>
      <w:lvlText w:val=""/>
      <w:lvlJc w:val="left"/>
      <w:pPr>
        <w:ind w:left="3958" w:hanging="360"/>
      </w:pPr>
      <w:rPr>
        <w:rFonts w:ascii="Wingdings" w:hAnsi="Wingdings" w:hint="default"/>
      </w:rPr>
    </w:lvl>
    <w:lvl w:ilvl="6" w:tplc="040A0001" w:tentative="1">
      <w:start w:val="1"/>
      <w:numFmt w:val="bullet"/>
      <w:lvlText w:val=""/>
      <w:lvlJc w:val="left"/>
      <w:pPr>
        <w:ind w:left="4678" w:hanging="360"/>
      </w:pPr>
      <w:rPr>
        <w:rFonts w:ascii="Symbol" w:hAnsi="Symbol" w:hint="default"/>
      </w:rPr>
    </w:lvl>
    <w:lvl w:ilvl="7" w:tplc="040A0003" w:tentative="1">
      <w:start w:val="1"/>
      <w:numFmt w:val="bullet"/>
      <w:lvlText w:val="o"/>
      <w:lvlJc w:val="left"/>
      <w:pPr>
        <w:ind w:left="5398" w:hanging="360"/>
      </w:pPr>
      <w:rPr>
        <w:rFonts w:ascii="Courier New" w:hAnsi="Courier New" w:cs="Courier New" w:hint="default"/>
      </w:rPr>
    </w:lvl>
    <w:lvl w:ilvl="8" w:tplc="040A0005" w:tentative="1">
      <w:start w:val="1"/>
      <w:numFmt w:val="bullet"/>
      <w:lvlText w:val=""/>
      <w:lvlJc w:val="left"/>
      <w:pPr>
        <w:ind w:left="6118" w:hanging="360"/>
      </w:pPr>
      <w:rPr>
        <w:rFonts w:ascii="Wingdings" w:hAnsi="Wingdings" w:hint="default"/>
      </w:rPr>
    </w:lvl>
  </w:abstractNum>
  <w:abstractNum w:abstractNumId="24">
    <w:nsid w:val="527061D0"/>
    <w:multiLevelType w:val="hybridMultilevel"/>
    <w:tmpl w:val="A4FAA458"/>
    <w:lvl w:ilvl="0" w:tplc="51326170">
      <w:start w:val="1"/>
      <w:numFmt w:val="decimal"/>
      <w:lvlText w:val="%1."/>
      <w:lvlJc w:val="left"/>
      <w:pPr>
        <w:ind w:left="720" w:hanging="360"/>
      </w:pPr>
      <w:rPr>
        <w:rFonts w:eastAsia="Century Gothic"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5">
    <w:nsid w:val="55A864BA"/>
    <w:multiLevelType w:val="hybridMultilevel"/>
    <w:tmpl w:val="D3AC1788"/>
    <w:lvl w:ilvl="0" w:tplc="240A0011">
      <w:start w:val="1"/>
      <w:numFmt w:val="decimal"/>
      <w:lvlText w:val="%1)"/>
      <w:lvlJc w:val="left"/>
      <w:pPr>
        <w:ind w:left="360" w:hanging="360"/>
      </w:pPr>
      <w:rPr>
        <w:rFonts w:hint="default"/>
      </w:rPr>
    </w:lvl>
    <w:lvl w:ilvl="1" w:tplc="040A0003" w:tentative="1">
      <w:start w:val="1"/>
      <w:numFmt w:val="bullet"/>
      <w:lvlText w:val="o"/>
      <w:lvlJc w:val="left"/>
      <w:pPr>
        <w:ind w:left="1080" w:hanging="360"/>
      </w:pPr>
      <w:rPr>
        <w:rFonts w:ascii="Courier New" w:hAnsi="Courier New" w:cs="Courier New" w:hint="default"/>
      </w:rPr>
    </w:lvl>
    <w:lvl w:ilvl="2" w:tplc="040A0005" w:tentative="1">
      <w:start w:val="1"/>
      <w:numFmt w:val="bullet"/>
      <w:lvlText w:val=""/>
      <w:lvlJc w:val="left"/>
      <w:pPr>
        <w:ind w:left="1800" w:hanging="360"/>
      </w:pPr>
      <w:rPr>
        <w:rFonts w:ascii="Wingdings" w:hAnsi="Wingdings" w:hint="default"/>
      </w:rPr>
    </w:lvl>
    <w:lvl w:ilvl="3" w:tplc="040A0001" w:tentative="1">
      <w:start w:val="1"/>
      <w:numFmt w:val="bullet"/>
      <w:lvlText w:val=""/>
      <w:lvlJc w:val="left"/>
      <w:pPr>
        <w:ind w:left="2520" w:hanging="360"/>
      </w:pPr>
      <w:rPr>
        <w:rFonts w:ascii="Symbol" w:hAnsi="Symbol" w:hint="default"/>
      </w:rPr>
    </w:lvl>
    <w:lvl w:ilvl="4" w:tplc="040A0003" w:tentative="1">
      <w:start w:val="1"/>
      <w:numFmt w:val="bullet"/>
      <w:lvlText w:val="o"/>
      <w:lvlJc w:val="left"/>
      <w:pPr>
        <w:ind w:left="3240" w:hanging="360"/>
      </w:pPr>
      <w:rPr>
        <w:rFonts w:ascii="Courier New" w:hAnsi="Courier New" w:cs="Courier New" w:hint="default"/>
      </w:rPr>
    </w:lvl>
    <w:lvl w:ilvl="5" w:tplc="040A0005" w:tentative="1">
      <w:start w:val="1"/>
      <w:numFmt w:val="bullet"/>
      <w:lvlText w:val=""/>
      <w:lvlJc w:val="left"/>
      <w:pPr>
        <w:ind w:left="3960" w:hanging="360"/>
      </w:pPr>
      <w:rPr>
        <w:rFonts w:ascii="Wingdings" w:hAnsi="Wingdings" w:hint="default"/>
      </w:rPr>
    </w:lvl>
    <w:lvl w:ilvl="6" w:tplc="040A0001" w:tentative="1">
      <w:start w:val="1"/>
      <w:numFmt w:val="bullet"/>
      <w:lvlText w:val=""/>
      <w:lvlJc w:val="left"/>
      <w:pPr>
        <w:ind w:left="4680" w:hanging="360"/>
      </w:pPr>
      <w:rPr>
        <w:rFonts w:ascii="Symbol" w:hAnsi="Symbol" w:hint="default"/>
      </w:rPr>
    </w:lvl>
    <w:lvl w:ilvl="7" w:tplc="040A0003" w:tentative="1">
      <w:start w:val="1"/>
      <w:numFmt w:val="bullet"/>
      <w:lvlText w:val="o"/>
      <w:lvlJc w:val="left"/>
      <w:pPr>
        <w:ind w:left="5400" w:hanging="360"/>
      </w:pPr>
      <w:rPr>
        <w:rFonts w:ascii="Courier New" w:hAnsi="Courier New" w:cs="Courier New" w:hint="default"/>
      </w:rPr>
    </w:lvl>
    <w:lvl w:ilvl="8" w:tplc="040A0005" w:tentative="1">
      <w:start w:val="1"/>
      <w:numFmt w:val="bullet"/>
      <w:lvlText w:val=""/>
      <w:lvlJc w:val="left"/>
      <w:pPr>
        <w:ind w:left="6120" w:hanging="360"/>
      </w:pPr>
      <w:rPr>
        <w:rFonts w:ascii="Wingdings" w:hAnsi="Wingdings" w:hint="default"/>
      </w:rPr>
    </w:lvl>
  </w:abstractNum>
  <w:abstractNum w:abstractNumId="26">
    <w:nsid w:val="5FCF47A3"/>
    <w:multiLevelType w:val="multilevel"/>
    <w:tmpl w:val="1C6CA458"/>
    <w:lvl w:ilvl="0">
      <w:start w:val="1"/>
      <w:numFmt w:val="decimal"/>
      <w:lvlText w:val="%1."/>
      <w:lvlJc w:val="left"/>
      <w:pPr>
        <w:ind w:left="720" w:hanging="360"/>
      </w:pPr>
      <w:rPr>
        <w:rFonts w:ascii="Times New Roman" w:eastAsia="Century Gothic" w:hAnsi="Times New Roman" w:cs="Times New Roman" w:hint="default"/>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7">
    <w:nsid w:val="60C230D0"/>
    <w:multiLevelType w:val="hybridMultilevel"/>
    <w:tmpl w:val="516880A6"/>
    <w:lvl w:ilvl="0" w:tplc="240A0011">
      <w:start w:val="1"/>
      <w:numFmt w:val="decimal"/>
      <w:lvlText w:val="%1)"/>
      <w:lvlJc w:val="left"/>
      <w:pPr>
        <w:ind w:left="1429" w:hanging="360"/>
      </w:pPr>
    </w:lvl>
    <w:lvl w:ilvl="1" w:tplc="040A0019" w:tentative="1">
      <w:start w:val="1"/>
      <w:numFmt w:val="lowerLetter"/>
      <w:lvlText w:val="%2."/>
      <w:lvlJc w:val="left"/>
      <w:pPr>
        <w:ind w:left="2149" w:hanging="360"/>
      </w:pPr>
    </w:lvl>
    <w:lvl w:ilvl="2" w:tplc="040A001B" w:tentative="1">
      <w:start w:val="1"/>
      <w:numFmt w:val="lowerRoman"/>
      <w:lvlText w:val="%3."/>
      <w:lvlJc w:val="right"/>
      <w:pPr>
        <w:ind w:left="2869" w:hanging="180"/>
      </w:pPr>
    </w:lvl>
    <w:lvl w:ilvl="3" w:tplc="040A000F" w:tentative="1">
      <w:start w:val="1"/>
      <w:numFmt w:val="decimal"/>
      <w:lvlText w:val="%4."/>
      <w:lvlJc w:val="left"/>
      <w:pPr>
        <w:ind w:left="3589" w:hanging="360"/>
      </w:pPr>
    </w:lvl>
    <w:lvl w:ilvl="4" w:tplc="040A0019" w:tentative="1">
      <w:start w:val="1"/>
      <w:numFmt w:val="lowerLetter"/>
      <w:lvlText w:val="%5."/>
      <w:lvlJc w:val="left"/>
      <w:pPr>
        <w:ind w:left="4309" w:hanging="360"/>
      </w:pPr>
    </w:lvl>
    <w:lvl w:ilvl="5" w:tplc="040A001B" w:tentative="1">
      <w:start w:val="1"/>
      <w:numFmt w:val="lowerRoman"/>
      <w:lvlText w:val="%6."/>
      <w:lvlJc w:val="right"/>
      <w:pPr>
        <w:ind w:left="5029" w:hanging="180"/>
      </w:pPr>
    </w:lvl>
    <w:lvl w:ilvl="6" w:tplc="040A000F" w:tentative="1">
      <w:start w:val="1"/>
      <w:numFmt w:val="decimal"/>
      <w:lvlText w:val="%7."/>
      <w:lvlJc w:val="left"/>
      <w:pPr>
        <w:ind w:left="5749" w:hanging="360"/>
      </w:pPr>
    </w:lvl>
    <w:lvl w:ilvl="7" w:tplc="040A0019" w:tentative="1">
      <w:start w:val="1"/>
      <w:numFmt w:val="lowerLetter"/>
      <w:lvlText w:val="%8."/>
      <w:lvlJc w:val="left"/>
      <w:pPr>
        <w:ind w:left="6469" w:hanging="360"/>
      </w:pPr>
    </w:lvl>
    <w:lvl w:ilvl="8" w:tplc="040A001B" w:tentative="1">
      <w:start w:val="1"/>
      <w:numFmt w:val="lowerRoman"/>
      <w:lvlText w:val="%9."/>
      <w:lvlJc w:val="right"/>
      <w:pPr>
        <w:ind w:left="7189" w:hanging="180"/>
      </w:pPr>
    </w:lvl>
  </w:abstractNum>
  <w:abstractNum w:abstractNumId="28">
    <w:nsid w:val="62C74658"/>
    <w:multiLevelType w:val="hybridMultilevel"/>
    <w:tmpl w:val="A9084B68"/>
    <w:lvl w:ilvl="0" w:tplc="405EE708">
      <w:start w:val="19"/>
      <w:numFmt w:val="bullet"/>
      <w:lvlText w:val="-"/>
      <w:lvlJc w:val="left"/>
      <w:pPr>
        <w:ind w:left="358" w:hanging="360"/>
      </w:pPr>
      <w:rPr>
        <w:rFonts w:ascii="Times New Roman" w:eastAsia="Century Gothic" w:hAnsi="Times New Roman" w:cs="Times New Roman" w:hint="default"/>
      </w:rPr>
    </w:lvl>
    <w:lvl w:ilvl="1" w:tplc="040A0003" w:tentative="1">
      <w:start w:val="1"/>
      <w:numFmt w:val="bullet"/>
      <w:lvlText w:val="o"/>
      <w:lvlJc w:val="left"/>
      <w:pPr>
        <w:ind w:left="1078" w:hanging="360"/>
      </w:pPr>
      <w:rPr>
        <w:rFonts w:ascii="Courier New" w:hAnsi="Courier New" w:cs="Courier New" w:hint="default"/>
      </w:rPr>
    </w:lvl>
    <w:lvl w:ilvl="2" w:tplc="040A0005" w:tentative="1">
      <w:start w:val="1"/>
      <w:numFmt w:val="bullet"/>
      <w:lvlText w:val=""/>
      <w:lvlJc w:val="left"/>
      <w:pPr>
        <w:ind w:left="1798" w:hanging="360"/>
      </w:pPr>
      <w:rPr>
        <w:rFonts w:ascii="Wingdings" w:hAnsi="Wingdings" w:hint="default"/>
      </w:rPr>
    </w:lvl>
    <w:lvl w:ilvl="3" w:tplc="040A0001" w:tentative="1">
      <w:start w:val="1"/>
      <w:numFmt w:val="bullet"/>
      <w:lvlText w:val=""/>
      <w:lvlJc w:val="left"/>
      <w:pPr>
        <w:ind w:left="2518" w:hanging="360"/>
      </w:pPr>
      <w:rPr>
        <w:rFonts w:ascii="Symbol" w:hAnsi="Symbol" w:hint="default"/>
      </w:rPr>
    </w:lvl>
    <w:lvl w:ilvl="4" w:tplc="040A0003" w:tentative="1">
      <w:start w:val="1"/>
      <w:numFmt w:val="bullet"/>
      <w:lvlText w:val="o"/>
      <w:lvlJc w:val="left"/>
      <w:pPr>
        <w:ind w:left="3238" w:hanging="360"/>
      </w:pPr>
      <w:rPr>
        <w:rFonts w:ascii="Courier New" w:hAnsi="Courier New" w:cs="Courier New" w:hint="default"/>
      </w:rPr>
    </w:lvl>
    <w:lvl w:ilvl="5" w:tplc="040A0005" w:tentative="1">
      <w:start w:val="1"/>
      <w:numFmt w:val="bullet"/>
      <w:lvlText w:val=""/>
      <w:lvlJc w:val="left"/>
      <w:pPr>
        <w:ind w:left="3958" w:hanging="360"/>
      </w:pPr>
      <w:rPr>
        <w:rFonts w:ascii="Wingdings" w:hAnsi="Wingdings" w:hint="default"/>
      </w:rPr>
    </w:lvl>
    <w:lvl w:ilvl="6" w:tplc="040A0001" w:tentative="1">
      <w:start w:val="1"/>
      <w:numFmt w:val="bullet"/>
      <w:lvlText w:val=""/>
      <w:lvlJc w:val="left"/>
      <w:pPr>
        <w:ind w:left="4678" w:hanging="360"/>
      </w:pPr>
      <w:rPr>
        <w:rFonts w:ascii="Symbol" w:hAnsi="Symbol" w:hint="default"/>
      </w:rPr>
    </w:lvl>
    <w:lvl w:ilvl="7" w:tplc="040A0003" w:tentative="1">
      <w:start w:val="1"/>
      <w:numFmt w:val="bullet"/>
      <w:lvlText w:val="o"/>
      <w:lvlJc w:val="left"/>
      <w:pPr>
        <w:ind w:left="5398" w:hanging="360"/>
      </w:pPr>
      <w:rPr>
        <w:rFonts w:ascii="Courier New" w:hAnsi="Courier New" w:cs="Courier New" w:hint="default"/>
      </w:rPr>
    </w:lvl>
    <w:lvl w:ilvl="8" w:tplc="040A0005" w:tentative="1">
      <w:start w:val="1"/>
      <w:numFmt w:val="bullet"/>
      <w:lvlText w:val=""/>
      <w:lvlJc w:val="left"/>
      <w:pPr>
        <w:ind w:left="6118" w:hanging="360"/>
      </w:pPr>
      <w:rPr>
        <w:rFonts w:ascii="Wingdings" w:hAnsi="Wingdings" w:hint="default"/>
      </w:rPr>
    </w:lvl>
  </w:abstractNum>
  <w:abstractNum w:abstractNumId="29">
    <w:nsid w:val="65BB0C67"/>
    <w:multiLevelType w:val="hybridMultilevel"/>
    <w:tmpl w:val="15E8C85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nsid w:val="67FA2E8E"/>
    <w:multiLevelType w:val="multilevel"/>
    <w:tmpl w:val="6FD492DE"/>
    <w:lvl w:ilvl="0">
      <w:numFmt w:val="bullet"/>
      <w:lvlText w:val="-"/>
      <w:lvlJc w:val="left"/>
      <w:pPr>
        <w:ind w:left="720" w:hanging="360"/>
      </w:pPr>
      <w:rPr>
        <w:rFonts w:ascii="Arial" w:eastAsia="Arial" w:hAnsi="Arial" w:cs="Arial"/>
        <w:sz w:val="22"/>
        <w:szCs w:val="22"/>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31">
    <w:nsid w:val="69E119CE"/>
    <w:multiLevelType w:val="hybridMultilevel"/>
    <w:tmpl w:val="62E44952"/>
    <w:lvl w:ilvl="0" w:tplc="C9289AFE">
      <w:start w:val="1"/>
      <w:numFmt w:val="decimal"/>
      <w:lvlText w:val="%1)"/>
      <w:lvlJc w:val="left"/>
      <w:pPr>
        <w:ind w:left="358"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2">
    <w:nsid w:val="6DA11ACE"/>
    <w:multiLevelType w:val="hybridMultilevel"/>
    <w:tmpl w:val="856AC4FA"/>
    <w:lvl w:ilvl="0" w:tplc="1CEA9950">
      <w:start w:val="1"/>
      <w:numFmt w:val="lowerLetter"/>
      <w:lvlText w:val="%1)"/>
      <w:lvlJc w:val="left"/>
      <w:pPr>
        <w:ind w:left="1069" w:hanging="360"/>
      </w:pPr>
      <w:rPr>
        <w:rFonts w:hint="default"/>
        <w:b w:val="0"/>
      </w:rPr>
    </w:lvl>
    <w:lvl w:ilvl="1" w:tplc="240A0019" w:tentative="1">
      <w:start w:val="1"/>
      <w:numFmt w:val="lowerLetter"/>
      <w:lvlText w:val="%2."/>
      <w:lvlJc w:val="left"/>
      <w:pPr>
        <w:ind w:left="1789" w:hanging="360"/>
      </w:pPr>
    </w:lvl>
    <w:lvl w:ilvl="2" w:tplc="240A001B" w:tentative="1">
      <w:start w:val="1"/>
      <w:numFmt w:val="lowerRoman"/>
      <w:lvlText w:val="%3."/>
      <w:lvlJc w:val="right"/>
      <w:pPr>
        <w:ind w:left="2509" w:hanging="180"/>
      </w:pPr>
    </w:lvl>
    <w:lvl w:ilvl="3" w:tplc="240A000F" w:tentative="1">
      <w:start w:val="1"/>
      <w:numFmt w:val="decimal"/>
      <w:lvlText w:val="%4."/>
      <w:lvlJc w:val="left"/>
      <w:pPr>
        <w:ind w:left="3229" w:hanging="360"/>
      </w:pPr>
    </w:lvl>
    <w:lvl w:ilvl="4" w:tplc="240A0019" w:tentative="1">
      <w:start w:val="1"/>
      <w:numFmt w:val="lowerLetter"/>
      <w:lvlText w:val="%5."/>
      <w:lvlJc w:val="left"/>
      <w:pPr>
        <w:ind w:left="3949" w:hanging="360"/>
      </w:pPr>
    </w:lvl>
    <w:lvl w:ilvl="5" w:tplc="240A001B" w:tentative="1">
      <w:start w:val="1"/>
      <w:numFmt w:val="lowerRoman"/>
      <w:lvlText w:val="%6."/>
      <w:lvlJc w:val="right"/>
      <w:pPr>
        <w:ind w:left="4669" w:hanging="180"/>
      </w:pPr>
    </w:lvl>
    <w:lvl w:ilvl="6" w:tplc="240A000F" w:tentative="1">
      <w:start w:val="1"/>
      <w:numFmt w:val="decimal"/>
      <w:lvlText w:val="%7."/>
      <w:lvlJc w:val="left"/>
      <w:pPr>
        <w:ind w:left="5389" w:hanging="360"/>
      </w:pPr>
    </w:lvl>
    <w:lvl w:ilvl="7" w:tplc="240A0019" w:tentative="1">
      <w:start w:val="1"/>
      <w:numFmt w:val="lowerLetter"/>
      <w:lvlText w:val="%8."/>
      <w:lvlJc w:val="left"/>
      <w:pPr>
        <w:ind w:left="6109" w:hanging="360"/>
      </w:pPr>
    </w:lvl>
    <w:lvl w:ilvl="8" w:tplc="240A001B" w:tentative="1">
      <w:start w:val="1"/>
      <w:numFmt w:val="lowerRoman"/>
      <w:lvlText w:val="%9."/>
      <w:lvlJc w:val="right"/>
      <w:pPr>
        <w:ind w:left="6829" w:hanging="180"/>
      </w:pPr>
    </w:lvl>
  </w:abstractNum>
  <w:abstractNum w:abstractNumId="33">
    <w:nsid w:val="6E4B04CC"/>
    <w:multiLevelType w:val="hybridMultilevel"/>
    <w:tmpl w:val="1528DDBC"/>
    <w:lvl w:ilvl="0" w:tplc="240A0011">
      <w:start w:val="1"/>
      <w:numFmt w:val="decimal"/>
      <w:lvlText w:val="%1)"/>
      <w:lvlJc w:val="left"/>
      <w:pPr>
        <w:ind w:left="720" w:hanging="360"/>
      </w:pPr>
      <w:rPr>
        <w:rFont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4">
    <w:nsid w:val="708A3263"/>
    <w:multiLevelType w:val="hybridMultilevel"/>
    <w:tmpl w:val="319A694E"/>
    <w:lvl w:ilvl="0" w:tplc="240A0011">
      <w:start w:val="1"/>
      <w:numFmt w:val="decimal"/>
      <w:lvlText w:val="%1)"/>
      <w:lvlJc w:val="left"/>
      <w:pPr>
        <w:ind w:left="720" w:hanging="360"/>
      </w:pPr>
      <w:rPr>
        <w:rFonts w:hint="default"/>
        <w:color w:val="000000"/>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5">
    <w:nsid w:val="7D4C0E3E"/>
    <w:multiLevelType w:val="hybridMultilevel"/>
    <w:tmpl w:val="EAD0BEB4"/>
    <w:lvl w:ilvl="0" w:tplc="B8ECAF94">
      <w:start w:val="1"/>
      <w:numFmt w:val="decimal"/>
      <w:lvlText w:val="%1."/>
      <w:lvlJc w:val="left"/>
      <w:pPr>
        <w:ind w:left="718" w:hanging="360"/>
      </w:pPr>
      <w:rPr>
        <w:rFonts w:ascii="Times New Roman" w:eastAsia="Century Gothic" w:hAnsi="Times New Roman" w:cs="Times New Roman" w:hint="default"/>
        <w:b w:val="0"/>
      </w:rPr>
    </w:lvl>
    <w:lvl w:ilvl="1" w:tplc="040A0019" w:tentative="1">
      <w:start w:val="1"/>
      <w:numFmt w:val="lowerLetter"/>
      <w:lvlText w:val="%2."/>
      <w:lvlJc w:val="left"/>
      <w:pPr>
        <w:ind w:left="1438" w:hanging="360"/>
      </w:pPr>
    </w:lvl>
    <w:lvl w:ilvl="2" w:tplc="040A001B" w:tentative="1">
      <w:start w:val="1"/>
      <w:numFmt w:val="lowerRoman"/>
      <w:lvlText w:val="%3."/>
      <w:lvlJc w:val="right"/>
      <w:pPr>
        <w:ind w:left="2158" w:hanging="180"/>
      </w:pPr>
    </w:lvl>
    <w:lvl w:ilvl="3" w:tplc="040A000F" w:tentative="1">
      <w:start w:val="1"/>
      <w:numFmt w:val="decimal"/>
      <w:lvlText w:val="%4."/>
      <w:lvlJc w:val="left"/>
      <w:pPr>
        <w:ind w:left="2878" w:hanging="360"/>
      </w:pPr>
    </w:lvl>
    <w:lvl w:ilvl="4" w:tplc="040A0019" w:tentative="1">
      <w:start w:val="1"/>
      <w:numFmt w:val="lowerLetter"/>
      <w:lvlText w:val="%5."/>
      <w:lvlJc w:val="left"/>
      <w:pPr>
        <w:ind w:left="3598" w:hanging="360"/>
      </w:pPr>
    </w:lvl>
    <w:lvl w:ilvl="5" w:tplc="040A001B" w:tentative="1">
      <w:start w:val="1"/>
      <w:numFmt w:val="lowerRoman"/>
      <w:lvlText w:val="%6."/>
      <w:lvlJc w:val="right"/>
      <w:pPr>
        <w:ind w:left="4318" w:hanging="180"/>
      </w:pPr>
    </w:lvl>
    <w:lvl w:ilvl="6" w:tplc="040A000F" w:tentative="1">
      <w:start w:val="1"/>
      <w:numFmt w:val="decimal"/>
      <w:lvlText w:val="%7."/>
      <w:lvlJc w:val="left"/>
      <w:pPr>
        <w:ind w:left="5038" w:hanging="360"/>
      </w:pPr>
    </w:lvl>
    <w:lvl w:ilvl="7" w:tplc="040A0019" w:tentative="1">
      <w:start w:val="1"/>
      <w:numFmt w:val="lowerLetter"/>
      <w:lvlText w:val="%8."/>
      <w:lvlJc w:val="left"/>
      <w:pPr>
        <w:ind w:left="5758" w:hanging="360"/>
      </w:pPr>
    </w:lvl>
    <w:lvl w:ilvl="8" w:tplc="040A001B" w:tentative="1">
      <w:start w:val="1"/>
      <w:numFmt w:val="lowerRoman"/>
      <w:lvlText w:val="%9."/>
      <w:lvlJc w:val="right"/>
      <w:pPr>
        <w:ind w:left="6478" w:hanging="180"/>
      </w:pPr>
    </w:lvl>
  </w:abstractNum>
  <w:abstractNum w:abstractNumId="36">
    <w:nsid w:val="7E9F6260"/>
    <w:multiLevelType w:val="hybridMultilevel"/>
    <w:tmpl w:val="8C0899D4"/>
    <w:lvl w:ilvl="0" w:tplc="00309E0C">
      <w:start w:val="1"/>
      <w:numFmt w:val="decimal"/>
      <w:lvlText w:val="%1."/>
      <w:lvlJc w:val="left"/>
      <w:pPr>
        <w:ind w:left="1069" w:hanging="360"/>
      </w:pPr>
      <w:rPr>
        <w:rFonts w:ascii="Times New Roman" w:hAnsi="Times New Roman" w:cs="Times New Roman" w:hint="default"/>
        <w:b/>
        <w:sz w:val="24"/>
      </w:rPr>
    </w:lvl>
    <w:lvl w:ilvl="1" w:tplc="240A0019" w:tentative="1">
      <w:start w:val="1"/>
      <w:numFmt w:val="lowerLetter"/>
      <w:lvlText w:val="%2."/>
      <w:lvlJc w:val="left"/>
      <w:pPr>
        <w:ind w:left="1789" w:hanging="360"/>
      </w:pPr>
    </w:lvl>
    <w:lvl w:ilvl="2" w:tplc="240A001B" w:tentative="1">
      <w:start w:val="1"/>
      <w:numFmt w:val="lowerRoman"/>
      <w:lvlText w:val="%3."/>
      <w:lvlJc w:val="right"/>
      <w:pPr>
        <w:ind w:left="2509" w:hanging="180"/>
      </w:pPr>
    </w:lvl>
    <w:lvl w:ilvl="3" w:tplc="240A000F" w:tentative="1">
      <w:start w:val="1"/>
      <w:numFmt w:val="decimal"/>
      <w:lvlText w:val="%4."/>
      <w:lvlJc w:val="left"/>
      <w:pPr>
        <w:ind w:left="3229" w:hanging="360"/>
      </w:pPr>
    </w:lvl>
    <w:lvl w:ilvl="4" w:tplc="240A0019" w:tentative="1">
      <w:start w:val="1"/>
      <w:numFmt w:val="lowerLetter"/>
      <w:lvlText w:val="%5."/>
      <w:lvlJc w:val="left"/>
      <w:pPr>
        <w:ind w:left="3949" w:hanging="360"/>
      </w:pPr>
    </w:lvl>
    <w:lvl w:ilvl="5" w:tplc="240A001B" w:tentative="1">
      <w:start w:val="1"/>
      <w:numFmt w:val="lowerRoman"/>
      <w:lvlText w:val="%6."/>
      <w:lvlJc w:val="right"/>
      <w:pPr>
        <w:ind w:left="4669" w:hanging="180"/>
      </w:pPr>
    </w:lvl>
    <w:lvl w:ilvl="6" w:tplc="240A000F" w:tentative="1">
      <w:start w:val="1"/>
      <w:numFmt w:val="decimal"/>
      <w:lvlText w:val="%7."/>
      <w:lvlJc w:val="left"/>
      <w:pPr>
        <w:ind w:left="5389" w:hanging="360"/>
      </w:pPr>
    </w:lvl>
    <w:lvl w:ilvl="7" w:tplc="240A0019" w:tentative="1">
      <w:start w:val="1"/>
      <w:numFmt w:val="lowerLetter"/>
      <w:lvlText w:val="%8."/>
      <w:lvlJc w:val="left"/>
      <w:pPr>
        <w:ind w:left="6109" w:hanging="360"/>
      </w:pPr>
    </w:lvl>
    <w:lvl w:ilvl="8" w:tplc="240A001B" w:tentative="1">
      <w:start w:val="1"/>
      <w:numFmt w:val="lowerRoman"/>
      <w:lvlText w:val="%9."/>
      <w:lvlJc w:val="right"/>
      <w:pPr>
        <w:ind w:left="6829" w:hanging="180"/>
      </w:pPr>
    </w:lvl>
  </w:abstractNum>
  <w:num w:numId="1">
    <w:abstractNumId w:val="22"/>
  </w:num>
  <w:num w:numId="2">
    <w:abstractNumId w:val="3"/>
  </w:num>
  <w:num w:numId="3">
    <w:abstractNumId w:val="30"/>
  </w:num>
  <w:num w:numId="4">
    <w:abstractNumId w:val="6"/>
  </w:num>
  <w:num w:numId="5">
    <w:abstractNumId w:val="20"/>
  </w:num>
  <w:num w:numId="6">
    <w:abstractNumId w:val="15"/>
  </w:num>
  <w:num w:numId="7">
    <w:abstractNumId w:val="9"/>
  </w:num>
  <w:num w:numId="8">
    <w:abstractNumId w:val="4"/>
  </w:num>
  <w:num w:numId="9">
    <w:abstractNumId w:val="29"/>
  </w:num>
  <w:num w:numId="10">
    <w:abstractNumId w:val="10"/>
  </w:num>
  <w:num w:numId="11">
    <w:abstractNumId w:val="25"/>
  </w:num>
  <w:num w:numId="12">
    <w:abstractNumId w:val="5"/>
  </w:num>
  <w:num w:numId="13">
    <w:abstractNumId w:val="24"/>
  </w:num>
  <w:num w:numId="14">
    <w:abstractNumId w:val="23"/>
  </w:num>
  <w:num w:numId="15">
    <w:abstractNumId w:val="28"/>
  </w:num>
  <w:num w:numId="16">
    <w:abstractNumId w:val="34"/>
  </w:num>
  <w:num w:numId="17">
    <w:abstractNumId w:val="17"/>
  </w:num>
  <w:num w:numId="18">
    <w:abstractNumId w:val="33"/>
  </w:num>
  <w:num w:numId="19">
    <w:abstractNumId w:val="36"/>
  </w:num>
  <w:num w:numId="20">
    <w:abstractNumId w:val="32"/>
  </w:num>
  <w:num w:numId="21">
    <w:abstractNumId w:val="2"/>
  </w:num>
  <w:num w:numId="22">
    <w:abstractNumId w:val="12"/>
  </w:num>
  <w:num w:numId="23">
    <w:abstractNumId w:val="27"/>
  </w:num>
  <w:num w:numId="24">
    <w:abstractNumId w:val="19"/>
  </w:num>
  <w:num w:numId="25">
    <w:abstractNumId w:val="26"/>
  </w:num>
  <w:num w:numId="26">
    <w:abstractNumId w:val="21"/>
  </w:num>
  <w:num w:numId="27">
    <w:abstractNumId w:val="35"/>
  </w:num>
  <w:num w:numId="28">
    <w:abstractNumId w:val="13"/>
  </w:num>
  <w:num w:numId="29">
    <w:abstractNumId w:val="7"/>
  </w:num>
  <w:num w:numId="30">
    <w:abstractNumId w:val="1"/>
  </w:num>
  <w:num w:numId="31">
    <w:abstractNumId w:val="0"/>
  </w:num>
  <w:num w:numId="32">
    <w:abstractNumId w:val="18"/>
  </w:num>
  <w:num w:numId="33">
    <w:abstractNumId w:val="16"/>
  </w:num>
  <w:num w:numId="34">
    <w:abstractNumId w:val="11"/>
  </w:num>
  <w:num w:numId="35">
    <w:abstractNumId w:val="31"/>
  </w:num>
  <w:num w:numId="36">
    <w:abstractNumId w:val="8"/>
  </w:num>
  <w:num w:numId="3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6"/>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63DB"/>
    <w:rsid w:val="00010353"/>
    <w:rsid w:val="00016E63"/>
    <w:rsid w:val="000252D3"/>
    <w:rsid w:val="000325AF"/>
    <w:rsid w:val="000367AA"/>
    <w:rsid w:val="00037892"/>
    <w:rsid w:val="00063401"/>
    <w:rsid w:val="00067F3A"/>
    <w:rsid w:val="00070064"/>
    <w:rsid w:val="000767CD"/>
    <w:rsid w:val="00082E0A"/>
    <w:rsid w:val="00083ABD"/>
    <w:rsid w:val="00090FBE"/>
    <w:rsid w:val="00096B40"/>
    <w:rsid w:val="000A01D2"/>
    <w:rsid w:val="000B3A47"/>
    <w:rsid w:val="000B5933"/>
    <w:rsid w:val="000C2736"/>
    <w:rsid w:val="000C5699"/>
    <w:rsid w:val="000C590F"/>
    <w:rsid w:val="000D1418"/>
    <w:rsid w:val="000D5917"/>
    <w:rsid w:val="000E31D8"/>
    <w:rsid w:val="000F1179"/>
    <w:rsid w:val="000F1BF3"/>
    <w:rsid w:val="000F2B3A"/>
    <w:rsid w:val="000F35A0"/>
    <w:rsid w:val="00105586"/>
    <w:rsid w:val="00106EBA"/>
    <w:rsid w:val="00112E85"/>
    <w:rsid w:val="00114B38"/>
    <w:rsid w:val="00116528"/>
    <w:rsid w:val="00117CDA"/>
    <w:rsid w:val="00120FEA"/>
    <w:rsid w:val="0012721B"/>
    <w:rsid w:val="00132305"/>
    <w:rsid w:val="00150F84"/>
    <w:rsid w:val="00151714"/>
    <w:rsid w:val="001523CC"/>
    <w:rsid w:val="00157F6C"/>
    <w:rsid w:val="00171F25"/>
    <w:rsid w:val="001722D2"/>
    <w:rsid w:val="00172F11"/>
    <w:rsid w:val="00173211"/>
    <w:rsid w:val="00187E52"/>
    <w:rsid w:val="00196FAA"/>
    <w:rsid w:val="00197D51"/>
    <w:rsid w:val="001A0207"/>
    <w:rsid w:val="001A549E"/>
    <w:rsid w:val="001A5886"/>
    <w:rsid w:val="001B659D"/>
    <w:rsid w:val="001C3AC4"/>
    <w:rsid w:val="001D4A42"/>
    <w:rsid w:val="001F46F4"/>
    <w:rsid w:val="001F61D5"/>
    <w:rsid w:val="001F642D"/>
    <w:rsid w:val="002001DF"/>
    <w:rsid w:val="00204F7C"/>
    <w:rsid w:val="00205EA2"/>
    <w:rsid w:val="00207092"/>
    <w:rsid w:val="002120BA"/>
    <w:rsid w:val="00212F79"/>
    <w:rsid w:val="002341C8"/>
    <w:rsid w:val="00236FE3"/>
    <w:rsid w:val="00237A5B"/>
    <w:rsid w:val="00242C2D"/>
    <w:rsid w:val="00245B2C"/>
    <w:rsid w:val="0024789A"/>
    <w:rsid w:val="00250442"/>
    <w:rsid w:val="00254E42"/>
    <w:rsid w:val="00256C39"/>
    <w:rsid w:val="00262D18"/>
    <w:rsid w:val="0026317A"/>
    <w:rsid w:val="002641FF"/>
    <w:rsid w:val="00266443"/>
    <w:rsid w:val="002738B6"/>
    <w:rsid w:val="00274EEF"/>
    <w:rsid w:val="0029583C"/>
    <w:rsid w:val="00296898"/>
    <w:rsid w:val="0029780E"/>
    <w:rsid w:val="002A468C"/>
    <w:rsid w:val="002A69FB"/>
    <w:rsid w:val="002B4703"/>
    <w:rsid w:val="002B73BB"/>
    <w:rsid w:val="002B7D1E"/>
    <w:rsid w:val="002C1938"/>
    <w:rsid w:val="002D494F"/>
    <w:rsid w:val="002D5DEF"/>
    <w:rsid w:val="002D765F"/>
    <w:rsid w:val="002E19C6"/>
    <w:rsid w:val="002F12F8"/>
    <w:rsid w:val="002F500A"/>
    <w:rsid w:val="002F6014"/>
    <w:rsid w:val="00301148"/>
    <w:rsid w:val="00310DA1"/>
    <w:rsid w:val="0031153D"/>
    <w:rsid w:val="0031501F"/>
    <w:rsid w:val="0031504C"/>
    <w:rsid w:val="00321D0F"/>
    <w:rsid w:val="00322060"/>
    <w:rsid w:val="00324ED5"/>
    <w:rsid w:val="00325250"/>
    <w:rsid w:val="00327B79"/>
    <w:rsid w:val="00335464"/>
    <w:rsid w:val="00354046"/>
    <w:rsid w:val="00365952"/>
    <w:rsid w:val="003746F0"/>
    <w:rsid w:val="00375DCA"/>
    <w:rsid w:val="003807AB"/>
    <w:rsid w:val="0039151D"/>
    <w:rsid w:val="00395706"/>
    <w:rsid w:val="00397F33"/>
    <w:rsid w:val="003A6AAE"/>
    <w:rsid w:val="003B4592"/>
    <w:rsid w:val="003D33DB"/>
    <w:rsid w:val="003D43C1"/>
    <w:rsid w:val="003D4661"/>
    <w:rsid w:val="003E1B7F"/>
    <w:rsid w:val="003E42CC"/>
    <w:rsid w:val="003E4D00"/>
    <w:rsid w:val="003E5885"/>
    <w:rsid w:val="003E6AE0"/>
    <w:rsid w:val="003F277C"/>
    <w:rsid w:val="003F6831"/>
    <w:rsid w:val="003F75EF"/>
    <w:rsid w:val="0040323F"/>
    <w:rsid w:val="00405D2E"/>
    <w:rsid w:val="004061B6"/>
    <w:rsid w:val="00411807"/>
    <w:rsid w:val="00413511"/>
    <w:rsid w:val="00421176"/>
    <w:rsid w:val="0043148E"/>
    <w:rsid w:val="00434097"/>
    <w:rsid w:val="00441901"/>
    <w:rsid w:val="00442387"/>
    <w:rsid w:val="00443CA8"/>
    <w:rsid w:val="0045690A"/>
    <w:rsid w:val="004611C3"/>
    <w:rsid w:val="004620ED"/>
    <w:rsid w:val="00463418"/>
    <w:rsid w:val="00480331"/>
    <w:rsid w:val="0048494D"/>
    <w:rsid w:val="00486A32"/>
    <w:rsid w:val="0049315E"/>
    <w:rsid w:val="004A3477"/>
    <w:rsid w:val="004A512F"/>
    <w:rsid w:val="004B0CA5"/>
    <w:rsid w:val="004B55F9"/>
    <w:rsid w:val="004B728A"/>
    <w:rsid w:val="004C5C5E"/>
    <w:rsid w:val="004D194E"/>
    <w:rsid w:val="004E2B10"/>
    <w:rsid w:val="004E68BE"/>
    <w:rsid w:val="004E6BEA"/>
    <w:rsid w:val="004E7C8C"/>
    <w:rsid w:val="00500B01"/>
    <w:rsid w:val="00530477"/>
    <w:rsid w:val="00535D3A"/>
    <w:rsid w:val="00545A4A"/>
    <w:rsid w:val="0055433A"/>
    <w:rsid w:val="00555150"/>
    <w:rsid w:val="00574814"/>
    <w:rsid w:val="005758E1"/>
    <w:rsid w:val="00580C80"/>
    <w:rsid w:val="00582469"/>
    <w:rsid w:val="005879B4"/>
    <w:rsid w:val="00587ACB"/>
    <w:rsid w:val="0059461E"/>
    <w:rsid w:val="0059472F"/>
    <w:rsid w:val="0059763A"/>
    <w:rsid w:val="005A51C9"/>
    <w:rsid w:val="005B1849"/>
    <w:rsid w:val="005C0503"/>
    <w:rsid w:val="005C19B3"/>
    <w:rsid w:val="005D6A29"/>
    <w:rsid w:val="005E1ADA"/>
    <w:rsid w:val="005E2343"/>
    <w:rsid w:val="005E6BB2"/>
    <w:rsid w:val="005E78D1"/>
    <w:rsid w:val="005F4BBA"/>
    <w:rsid w:val="005F6CD4"/>
    <w:rsid w:val="00600BF7"/>
    <w:rsid w:val="00606B23"/>
    <w:rsid w:val="00613BC1"/>
    <w:rsid w:val="00616FF1"/>
    <w:rsid w:val="006214A2"/>
    <w:rsid w:val="006226ED"/>
    <w:rsid w:val="00630B58"/>
    <w:rsid w:val="00630CB9"/>
    <w:rsid w:val="00631840"/>
    <w:rsid w:val="0066037B"/>
    <w:rsid w:val="00667C78"/>
    <w:rsid w:val="00667E1C"/>
    <w:rsid w:val="00682298"/>
    <w:rsid w:val="00691F3D"/>
    <w:rsid w:val="00695F32"/>
    <w:rsid w:val="006A7F6C"/>
    <w:rsid w:val="006B42EA"/>
    <w:rsid w:val="006C0805"/>
    <w:rsid w:val="006C34D1"/>
    <w:rsid w:val="006C5B9A"/>
    <w:rsid w:val="006D056C"/>
    <w:rsid w:val="006D09C0"/>
    <w:rsid w:val="006E0596"/>
    <w:rsid w:val="006F0D07"/>
    <w:rsid w:val="006F1753"/>
    <w:rsid w:val="006F41A1"/>
    <w:rsid w:val="00700305"/>
    <w:rsid w:val="00703B7E"/>
    <w:rsid w:val="00707AE2"/>
    <w:rsid w:val="00711D2F"/>
    <w:rsid w:val="00712063"/>
    <w:rsid w:val="00712E10"/>
    <w:rsid w:val="00715474"/>
    <w:rsid w:val="00723330"/>
    <w:rsid w:val="00723E55"/>
    <w:rsid w:val="00724FBC"/>
    <w:rsid w:val="00725B7B"/>
    <w:rsid w:val="00736D26"/>
    <w:rsid w:val="00744F94"/>
    <w:rsid w:val="007459C1"/>
    <w:rsid w:val="00747DAF"/>
    <w:rsid w:val="00754006"/>
    <w:rsid w:val="007542AD"/>
    <w:rsid w:val="00764635"/>
    <w:rsid w:val="00767BCC"/>
    <w:rsid w:val="007703B5"/>
    <w:rsid w:val="007723C7"/>
    <w:rsid w:val="007760F7"/>
    <w:rsid w:val="007808B5"/>
    <w:rsid w:val="00786296"/>
    <w:rsid w:val="007A40F9"/>
    <w:rsid w:val="007A69A6"/>
    <w:rsid w:val="007B2333"/>
    <w:rsid w:val="007B5071"/>
    <w:rsid w:val="007B5BB9"/>
    <w:rsid w:val="007C39BB"/>
    <w:rsid w:val="007C3E47"/>
    <w:rsid w:val="007E0968"/>
    <w:rsid w:val="007F1395"/>
    <w:rsid w:val="007F5A29"/>
    <w:rsid w:val="00800464"/>
    <w:rsid w:val="00800508"/>
    <w:rsid w:val="00800D27"/>
    <w:rsid w:val="008111C1"/>
    <w:rsid w:val="00812AF5"/>
    <w:rsid w:val="00816249"/>
    <w:rsid w:val="00816812"/>
    <w:rsid w:val="00823C3D"/>
    <w:rsid w:val="0082624C"/>
    <w:rsid w:val="00831645"/>
    <w:rsid w:val="008419EB"/>
    <w:rsid w:val="008449D6"/>
    <w:rsid w:val="0084791B"/>
    <w:rsid w:val="00862641"/>
    <w:rsid w:val="008659EB"/>
    <w:rsid w:val="00865D15"/>
    <w:rsid w:val="00872DE5"/>
    <w:rsid w:val="00873480"/>
    <w:rsid w:val="008773F8"/>
    <w:rsid w:val="008851ED"/>
    <w:rsid w:val="00885406"/>
    <w:rsid w:val="00890CA6"/>
    <w:rsid w:val="008923AF"/>
    <w:rsid w:val="008B2097"/>
    <w:rsid w:val="008B3BF3"/>
    <w:rsid w:val="008C0AAA"/>
    <w:rsid w:val="008C53AF"/>
    <w:rsid w:val="008D11EF"/>
    <w:rsid w:val="008D5A38"/>
    <w:rsid w:val="008E247C"/>
    <w:rsid w:val="008F415A"/>
    <w:rsid w:val="00902660"/>
    <w:rsid w:val="0090303C"/>
    <w:rsid w:val="00906A8C"/>
    <w:rsid w:val="00912186"/>
    <w:rsid w:val="00912B4B"/>
    <w:rsid w:val="00913324"/>
    <w:rsid w:val="0091365B"/>
    <w:rsid w:val="00914651"/>
    <w:rsid w:val="00917EEE"/>
    <w:rsid w:val="00926E3D"/>
    <w:rsid w:val="00932CDB"/>
    <w:rsid w:val="00936C19"/>
    <w:rsid w:val="0094568E"/>
    <w:rsid w:val="00947451"/>
    <w:rsid w:val="009478C5"/>
    <w:rsid w:val="009634E5"/>
    <w:rsid w:val="009760C2"/>
    <w:rsid w:val="00981B2F"/>
    <w:rsid w:val="00990070"/>
    <w:rsid w:val="009A0A8C"/>
    <w:rsid w:val="009A54F0"/>
    <w:rsid w:val="009A5872"/>
    <w:rsid w:val="009B429C"/>
    <w:rsid w:val="009B4993"/>
    <w:rsid w:val="009B65F1"/>
    <w:rsid w:val="009C0E3C"/>
    <w:rsid w:val="009D4A85"/>
    <w:rsid w:val="009D525D"/>
    <w:rsid w:val="009E3E3F"/>
    <w:rsid w:val="009E5DC7"/>
    <w:rsid w:val="009E7A91"/>
    <w:rsid w:val="009F1396"/>
    <w:rsid w:val="009F2376"/>
    <w:rsid w:val="009F353E"/>
    <w:rsid w:val="00A00240"/>
    <w:rsid w:val="00A02E83"/>
    <w:rsid w:val="00A035BD"/>
    <w:rsid w:val="00A04F0E"/>
    <w:rsid w:val="00A154B2"/>
    <w:rsid w:val="00A25F71"/>
    <w:rsid w:val="00A3199A"/>
    <w:rsid w:val="00A36080"/>
    <w:rsid w:val="00A37E1A"/>
    <w:rsid w:val="00A417F3"/>
    <w:rsid w:val="00A42F7C"/>
    <w:rsid w:val="00A43108"/>
    <w:rsid w:val="00A532A8"/>
    <w:rsid w:val="00A6658C"/>
    <w:rsid w:val="00A714C1"/>
    <w:rsid w:val="00A72022"/>
    <w:rsid w:val="00A771A5"/>
    <w:rsid w:val="00A83D5D"/>
    <w:rsid w:val="00A85262"/>
    <w:rsid w:val="00A86ED0"/>
    <w:rsid w:val="00A8717D"/>
    <w:rsid w:val="00A87BBB"/>
    <w:rsid w:val="00A910FD"/>
    <w:rsid w:val="00A95196"/>
    <w:rsid w:val="00A95893"/>
    <w:rsid w:val="00AA29C4"/>
    <w:rsid w:val="00AA3874"/>
    <w:rsid w:val="00AA66A7"/>
    <w:rsid w:val="00AB0F9E"/>
    <w:rsid w:val="00AB63DB"/>
    <w:rsid w:val="00AC125F"/>
    <w:rsid w:val="00AC45D1"/>
    <w:rsid w:val="00AC5DA6"/>
    <w:rsid w:val="00AD33F3"/>
    <w:rsid w:val="00AD60D3"/>
    <w:rsid w:val="00AF286B"/>
    <w:rsid w:val="00B034C7"/>
    <w:rsid w:val="00B04120"/>
    <w:rsid w:val="00B054A7"/>
    <w:rsid w:val="00B06299"/>
    <w:rsid w:val="00B06C6D"/>
    <w:rsid w:val="00B159E5"/>
    <w:rsid w:val="00B175D8"/>
    <w:rsid w:val="00B21AC0"/>
    <w:rsid w:val="00B2707A"/>
    <w:rsid w:val="00B27864"/>
    <w:rsid w:val="00B27A19"/>
    <w:rsid w:val="00B367D2"/>
    <w:rsid w:val="00B445E4"/>
    <w:rsid w:val="00B44AD1"/>
    <w:rsid w:val="00B53336"/>
    <w:rsid w:val="00B6189E"/>
    <w:rsid w:val="00B61C6D"/>
    <w:rsid w:val="00B6348E"/>
    <w:rsid w:val="00B7300B"/>
    <w:rsid w:val="00B80122"/>
    <w:rsid w:val="00B94145"/>
    <w:rsid w:val="00B94147"/>
    <w:rsid w:val="00BA2432"/>
    <w:rsid w:val="00BB5BD0"/>
    <w:rsid w:val="00BC2556"/>
    <w:rsid w:val="00BE0CDA"/>
    <w:rsid w:val="00BE6282"/>
    <w:rsid w:val="00BF0F02"/>
    <w:rsid w:val="00BF1BB3"/>
    <w:rsid w:val="00C07E4E"/>
    <w:rsid w:val="00C20A70"/>
    <w:rsid w:val="00C2313A"/>
    <w:rsid w:val="00C2330D"/>
    <w:rsid w:val="00C249A0"/>
    <w:rsid w:val="00C26C2E"/>
    <w:rsid w:val="00C342B2"/>
    <w:rsid w:val="00C40A78"/>
    <w:rsid w:val="00C501E9"/>
    <w:rsid w:val="00C52464"/>
    <w:rsid w:val="00C534C3"/>
    <w:rsid w:val="00C5493B"/>
    <w:rsid w:val="00C5616F"/>
    <w:rsid w:val="00C64B45"/>
    <w:rsid w:val="00C71E09"/>
    <w:rsid w:val="00C83472"/>
    <w:rsid w:val="00C91893"/>
    <w:rsid w:val="00C941F1"/>
    <w:rsid w:val="00C95CAD"/>
    <w:rsid w:val="00CA3B34"/>
    <w:rsid w:val="00CA49A5"/>
    <w:rsid w:val="00CA56CA"/>
    <w:rsid w:val="00CB3581"/>
    <w:rsid w:val="00CB5479"/>
    <w:rsid w:val="00CB57E7"/>
    <w:rsid w:val="00CC4466"/>
    <w:rsid w:val="00CC69F5"/>
    <w:rsid w:val="00CC7181"/>
    <w:rsid w:val="00CE7B13"/>
    <w:rsid w:val="00CF1899"/>
    <w:rsid w:val="00CF3989"/>
    <w:rsid w:val="00CF6485"/>
    <w:rsid w:val="00D01AE0"/>
    <w:rsid w:val="00D06A86"/>
    <w:rsid w:val="00D218BF"/>
    <w:rsid w:val="00D233A2"/>
    <w:rsid w:val="00D30643"/>
    <w:rsid w:val="00D30EF0"/>
    <w:rsid w:val="00D35DE0"/>
    <w:rsid w:val="00D363A5"/>
    <w:rsid w:val="00D37612"/>
    <w:rsid w:val="00D4078D"/>
    <w:rsid w:val="00D42E8B"/>
    <w:rsid w:val="00D42FB4"/>
    <w:rsid w:val="00D52691"/>
    <w:rsid w:val="00D5547B"/>
    <w:rsid w:val="00D66204"/>
    <w:rsid w:val="00D72851"/>
    <w:rsid w:val="00D7776E"/>
    <w:rsid w:val="00D90E9A"/>
    <w:rsid w:val="00D92820"/>
    <w:rsid w:val="00D93486"/>
    <w:rsid w:val="00DB1546"/>
    <w:rsid w:val="00DB2A10"/>
    <w:rsid w:val="00DB2D72"/>
    <w:rsid w:val="00DB4A2C"/>
    <w:rsid w:val="00DB6FF1"/>
    <w:rsid w:val="00DC2247"/>
    <w:rsid w:val="00DD69DD"/>
    <w:rsid w:val="00DE009B"/>
    <w:rsid w:val="00DE0349"/>
    <w:rsid w:val="00DE0750"/>
    <w:rsid w:val="00DE0D27"/>
    <w:rsid w:val="00DE29BD"/>
    <w:rsid w:val="00DE3B90"/>
    <w:rsid w:val="00DF2769"/>
    <w:rsid w:val="00E01F76"/>
    <w:rsid w:val="00E11B29"/>
    <w:rsid w:val="00E14BCD"/>
    <w:rsid w:val="00E1560F"/>
    <w:rsid w:val="00E16995"/>
    <w:rsid w:val="00E21876"/>
    <w:rsid w:val="00E2326D"/>
    <w:rsid w:val="00E275CE"/>
    <w:rsid w:val="00E52208"/>
    <w:rsid w:val="00E56CD0"/>
    <w:rsid w:val="00E61BAA"/>
    <w:rsid w:val="00E816F9"/>
    <w:rsid w:val="00E82A88"/>
    <w:rsid w:val="00E921C3"/>
    <w:rsid w:val="00E93277"/>
    <w:rsid w:val="00EA127B"/>
    <w:rsid w:val="00EB0362"/>
    <w:rsid w:val="00EC263B"/>
    <w:rsid w:val="00ED27B9"/>
    <w:rsid w:val="00ED7EE8"/>
    <w:rsid w:val="00EE13F8"/>
    <w:rsid w:val="00EE5D63"/>
    <w:rsid w:val="00EE6814"/>
    <w:rsid w:val="00EF109D"/>
    <w:rsid w:val="00EF4D98"/>
    <w:rsid w:val="00F057A6"/>
    <w:rsid w:val="00F057AB"/>
    <w:rsid w:val="00F17283"/>
    <w:rsid w:val="00F21C14"/>
    <w:rsid w:val="00F27455"/>
    <w:rsid w:val="00F42E7C"/>
    <w:rsid w:val="00F4420D"/>
    <w:rsid w:val="00F456C8"/>
    <w:rsid w:val="00F4640C"/>
    <w:rsid w:val="00F543F0"/>
    <w:rsid w:val="00F55714"/>
    <w:rsid w:val="00F62AE9"/>
    <w:rsid w:val="00F634B0"/>
    <w:rsid w:val="00F63927"/>
    <w:rsid w:val="00F644FB"/>
    <w:rsid w:val="00F67B6F"/>
    <w:rsid w:val="00F70150"/>
    <w:rsid w:val="00F77882"/>
    <w:rsid w:val="00F82903"/>
    <w:rsid w:val="00F8537D"/>
    <w:rsid w:val="00F90F5F"/>
    <w:rsid w:val="00F92F9B"/>
    <w:rsid w:val="00F94504"/>
    <w:rsid w:val="00F961A7"/>
    <w:rsid w:val="00F9744B"/>
    <w:rsid w:val="00FA2E10"/>
    <w:rsid w:val="00FA3DCD"/>
    <w:rsid w:val="00FA6FFE"/>
    <w:rsid w:val="00FA7A58"/>
    <w:rsid w:val="00FB22DD"/>
    <w:rsid w:val="00FB2509"/>
    <w:rsid w:val="00FC0926"/>
    <w:rsid w:val="00FC6BF4"/>
    <w:rsid w:val="00FD6A60"/>
    <w:rsid w:val="00FD6DF7"/>
    <w:rsid w:val="00FD720D"/>
    <w:rsid w:val="00FE3A9C"/>
    <w:rsid w:val="00FE6361"/>
    <w:rsid w:val="00FF08DA"/>
    <w:rsid w:val="00FF18A9"/>
    <w:rsid w:val="00FF2361"/>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B9FDAC4"/>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s-ES_tradnl"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5547B"/>
    <w:rPr>
      <w:rFonts w:ascii="Times New Roman" w:hAnsi="Times New Roman" w:cs="Times New Roman"/>
      <w:lang w:eastAsia="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AB63DB"/>
    <w:rPr>
      <w:sz w:val="22"/>
      <w:szCs w:val="22"/>
      <w:lang w:val="es-C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qFormat/>
    <w:rsid w:val="00AB63DB"/>
    <w:pPr>
      <w:spacing w:after="200" w:line="276" w:lineRule="auto"/>
      <w:ind w:left="720"/>
      <w:contextualSpacing/>
    </w:pPr>
    <w:rPr>
      <w:rFonts w:asciiTheme="minorHAnsi" w:hAnsiTheme="minorHAnsi" w:cstheme="minorBidi"/>
      <w:sz w:val="22"/>
      <w:szCs w:val="22"/>
      <w:lang w:val="es-CO" w:eastAsia="en-US"/>
    </w:rPr>
  </w:style>
  <w:style w:type="paragraph" w:styleId="NormalWeb">
    <w:name w:val="Normal (Web)"/>
    <w:basedOn w:val="Normal"/>
    <w:uiPriority w:val="99"/>
    <w:unhideWhenUsed/>
    <w:rsid w:val="00AB63DB"/>
    <w:pPr>
      <w:spacing w:before="100" w:beforeAutospacing="1" w:after="100" w:afterAutospacing="1"/>
    </w:pPr>
  </w:style>
  <w:style w:type="paragraph" w:customStyle="1" w:styleId="paragraph">
    <w:name w:val="paragraph"/>
    <w:basedOn w:val="Normal"/>
    <w:rsid w:val="00242C2D"/>
    <w:pPr>
      <w:spacing w:before="100" w:beforeAutospacing="1" w:after="100" w:afterAutospacing="1" w:line="259" w:lineRule="auto"/>
    </w:pPr>
    <w:rPr>
      <w:rFonts w:eastAsia="Times New Roman"/>
      <w:sz w:val="22"/>
      <w:szCs w:val="22"/>
      <w:lang w:val="en-US" w:eastAsia="es-AR"/>
    </w:rPr>
  </w:style>
  <w:style w:type="character" w:customStyle="1" w:styleId="eop">
    <w:name w:val="eop"/>
    <w:basedOn w:val="Fuentedeprrafopredeter"/>
    <w:rsid w:val="00242C2D"/>
  </w:style>
  <w:style w:type="character" w:customStyle="1" w:styleId="normaltextrun">
    <w:name w:val="normaltextrun"/>
    <w:basedOn w:val="Fuentedeprrafopredeter"/>
    <w:rsid w:val="00242C2D"/>
  </w:style>
  <w:style w:type="character" w:styleId="Hipervnculo">
    <w:name w:val="Hyperlink"/>
    <w:basedOn w:val="Fuentedeprrafopredeter"/>
    <w:uiPriority w:val="99"/>
    <w:unhideWhenUsed/>
    <w:rsid w:val="00C534C3"/>
    <w:rPr>
      <w:color w:val="0563C1" w:themeColor="hyperlink"/>
      <w:u w:val="single"/>
    </w:rPr>
  </w:style>
  <w:style w:type="paragraph" w:customStyle="1" w:styleId="xp2">
    <w:name w:val="x_p2"/>
    <w:basedOn w:val="Normal"/>
    <w:rsid w:val="00AA66A7"/>
    <w:pPr>
      <w:spacing w:before="100" w:beforeAutospacing="1" w:after="100" w:afterAutospacing="1"/>
    </w:pPr>
  </w:style>
  <w:style w:type="character" w:customStyle="1" w:styleId="xs2">
    <w:name w:val="x_s2"/>
    <w:basedOn w:val="Fuentedeprrafopredeter"/>
    <w:rsid w:val="00AA66A7"/>
  </w:style>
  <w:style w:type="paragraph" w:customStyle="1" w:styleId="xp3">
    <w:name w:val="x_p3"/>
    <w:basedOn w:val="Normal"/>
    <w:rsid w:val="00AA66A7"/>
    <w:pPr>
      <w:spacing w:before="100" w:beforeAutospacing="1" w:after="100" w:afterAutospacing="1"/>
    </w:pPr>
  </w:style>
  <w:style w:type="character" w:customStyle="1" w:styleId="xapple-converted-space">
    <w:name w:val="x_apple-converted-space"/>
    <w:basedOn w:val="Fuentedeprrafopredeter"/>
    <w:rsid w:val="00AA66A7"/>
  </w:style>
  <w:style w:type="character" w:customStyle="1" w:styleId="baj">
    <w:name w:val="b_aj"/>
    <w:basedOn w:val="Fuentedeprrafopredeter"/>
    <w:rsid w:val="006F1753"/>
  </w:style>
  <w:style w:type="paragraph" w:styleId="Textonotapie">
    <w:name w:val="footnote text"/>
    <w:basedOn w:val="Normal"/>
    <w:link w:val="TextonotapieCar"/>
    <w:uiPriority w:val="99"/>
    <w:semiHidden/>
    <w:unhideWhenUsed/>
    <w:rsid w:val="00786296"/>
    <w:rPr>
      <w:sz w:val="20"/>
      <w:szCs w:val="20"/>
    </w:rPr>
  </w:style>
  <w:style w:type="character" w:customStyle="1" w:styleId="TextonotapieCar">
    <w:name w:val="Texto nota pie Car"/>
    <w:basedOn w:val="Fuentedeprrafopredeter"/>
    <w:link w:val="Textonotapie"/>
    <w:uiPriority w:val="99"/>
    <w:semiHidden/>
    <w:rsid w:val="00786296"/>
    <w:rPr>
      <w:rFonts w:ascii="Times New Roman" w:hAnsi="Times New Roman" w:cs="Times New Roman"/>
      <w:sz w:val="20"/>
      <w:szCs w:val="20"/>
      <w:lang w:eastAsia="es-ES_tradnl"/>
    </w:rPr>
  </w:style>
  <w:style w:type="character" w:styleId="Refdenotaalpie">
    <w:name w:val="footnote reference"/>
    <w:basedOn w:val="Fuentedeprrafopredeter"/>
    <w:uiPriority w:val="99"/>
    <w:semiHidden/>
    <w:unhideWhenUsed/>
    <w:rsid w:val="00786296"/>
    <w:rPr>
      <w:vertAlign w:val="superscript"/>
    </w:rPr>
  </w:style>
  <w:style w:type="paragraph" w:styleId="Textodeglobo">
    <w:name w:val="Balloon Text"/>
    <w:basedOn w:val="Normal"/>
    <w:link w:val="TextodegloboCar"/>
    <w:uiPriority w:val="99"/>
    <w:semiHidden/>
    <w:unhideWhenUsed/>
    <w:rsid w:val="006A7F6C"/>
    <w:rPr>
      <w:rFonts w:ascii="Tahoma" w:hAnsi="Tahoma" w:cs="Tahoma"/>
      <w:sz w:val="16"/>
      <w:szCs w:val="16"/>
    </w:rPr>
  </w:style>
  <w:style w:type="character" w:customStyle="1" w:styleId="TextodegloboCar">
    <w:name w:val="Texto de globo Car"/>
    <w:basedOn w:val="Fuentedeprrafopredeter"/>
    <w:link w:val="Textodeglobo"/>
    <w:uiPriority w:val="99"/>
    <w:semiHidden/>
    <w:rsid w:val="006A7F6C"/>
    <w:rPr>
      <w:rFonts w:ascii="Tahoma" w:hAnsi="Tahoma" w:cs="Tahoma"/>
      <w:sz w:val="16"/>
      <w:szCs w:val="16"/>
      <w:lang w:eastAsia="es-ES_tradnl"/>
    </w:rPr>
  </w:style>
  <w:style w:type="character" w:styleId="Refdecomentario">
    <w:name w:val="annotation reference"/>
    <w:basedOn w:val="Fuentedeprrafopredeter"/>
    <w:uiPriority w:val="99"/>
    <w:semiHidden/>
    <w:unhideWhenUsed/>
    <w:rsid w:val="006C0805"/>
    <w:rPr>
      <w:sz w:val="16"/>
      <w:szCs w:val="16"/>
    </w:rPr>
  </w:style>
  <w:style w:type="paragraph" w:styleId="Textocomentario">
    <w:name w:val="annotation text"/>
    <w:basedOn w:val="Normal"/>
    <w:link w:val="TextocomentarioCar"/>
    <w:uiPriority w:val="99"/>
    <w:semiHidden/>
    <w:unhideWhenUsed/>
    <w:rsid w:val="006C0805"/>
    <w:rPr>
      <w:sz w:val="20"/>
      <w:szCs w:val="20"/>
    </w:rPr>
  </w:style>
  <w:style w:type="character" w:customStyle="1" w:styleId="TextocomentarioCar">
    <w:name w:val="Texto comentario Car"/>
    <w:basedOn w:val="Fuentedeprrafopredeter"/>
    <w:link w:val="Textocomentario"/>
    <w:uiPriority w:val="99"/>
    <w:semiHidden/>
    <w:rsid w:val="006C0805"/>
    <w:rPr>
      <w:rFonts w:ascii="Times New Roman" w:hAnsi="Times New Roman" w:cs="Times New Roman"/>
      <w:sz w:val="20"/>
      <w:szCs w:val="20"/>
      <w:lang w:eastAsia="es-ES_tradnl"/>
    </w:rPr>
  </w:style>
  <w:style w:type="paragraph" w:styleId="Asuntodelcomentario">
    <w:name w:val="annotation subject"/>
    <w:basedOn w:val="Textocomentario"/>
    <w:next w:val="Textocomentario"/>
    <w:link w:val="AsuntodelcomentarioCar"/>
    <w:uiPriority w:val="99"/>
    <w:semiHidden/>
    <w:unhideWhenUsed/>
    <w:rsid w:val="006C0805"/>
    <w:rPr>
      <w:b/>
      <w:bCs/>
    </w:rPr>
  </w:style>
  <w:style w:type="character" w:customStyle="1" w:styleId="AsuntodelcomentarioCar">
    <w:name w:val="Asunto del comentario Car"/>
    <w:basedOn w:val="TextocomentarioCar"/>
    <w:link w:val="Asuntodelcomentario"/>
    <w:uiPriority w:val="99"/>
    <w:semiHidden/>
    <w:rsid w:val="006C0805"/>
    <w:rPr>
      <w:rFonts w:ascii="Times New Roman" w:hAnsi="Times New Roman" w:cs="Times New Roman"/>
      <w:b/>
      <w:bCs/>
      <w:sz w:val="20"/>
      <w:szCs w:val="20"/>
      <w:lang w:eastAsia="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275734">
      <w:bodyDiv w:val="1"/>
      <w:marLeft w:val="0"/>
      <w:marRight w:val="0"/>
      <w:marTop w:val="0"/>
      <w:marBottom w:val="0"/>
      <w:divBdr>
        <w:top w:val="none" w:sz="0" w:space="0" w:color="auto"/>
        <w:left w:val="none" w:sz="0" w:space="0" w:color="auto"/>
        <w:bottom w:val="none" w:sz="0" w:space="0" w:color="auto"/>
        <w:right w:val="none" w:sz="0" w:space="0" w:color="auto"/>
      </w:divBdr>
    </w:div>
    <w:div w:id="122576966">
      <w:bodyDiv w:val="1"/>
      <w:marLeft w:val="0"/>
      <w:marRight w:val="0"/>
      <w:marTop w:val="0"/>
      <w:marBottom w:val="0"/>
      <w:divBdr>
        <w:top w:val="none" w:sz="0" w:space="0" w:color="auto"/>
        <w:left w:val="none" w:sz="0" w:space="0" w:color="auto"/>
        <w:bottom w:val="none" w:sz="0" w:space="0" w:color="auto"/>
        <w:right w:val="none" w:sz="0" w:space="0" w:color="auto"/>
      </w:divBdr>
    </w:div>
    <w:div w:id="169376098">
      <w:bodyDiv w:val="1"/>
      <w:marLeft w:val="0"/>
      <w:marRight w:val="0"/>
      <w:marTop w:val="0"/>
      <w:marBottom w:val="0"/>
      <w:divBdr>
        <w:top w:val="none" w:sz="0" w:space="0" w:color="auto"/>
        <w:left w:val="none" w:sz="0" w:space="0" w:color="auto"/>
        <w:bottom w:val="none" w:sz="0" w:space="0" w:color="auto"/>
        <w:right w:val="none" w:sz="0" w:space="0" w:color="auto"/>
      </w:divBdr>
    </w:div>
    <w:div w:id="207691263">
      <w:bodyDiv w:val="1"/>
      <w:marLeft w:val="0"/>
      <w:marRight w:val="0"/>
      <w:marTop w:val="0"/>
      <w:marBottom w:val="0"/>
      <w:divBdr>
        <w:top w:val="none" w:sz="0" w:space="0" w:color="auto"/>
        <w:left w:val="none" w:sz="0" w:space="0" w:color="auto"/>
        <w:bottom w:val="none" w:sz="0" w:space="0" w:color="auto"/>
        <w:right w:val="none" w:sz="0" w:space="0" w:color="auto"/>
      </w:divBdr>
    </w:div>
    <w:div w:id="263652205">
      <w:bodyDiv w:val="1"/>
      <w:marLeft w:val="0"/>
      <w:marRight w:val="0"/>
      <w:marTop w:val="0"/>
      <w:marBottom w:val="0"/>
      <w:divBdr>
        <w:top w:val="none" w:sz="0" w:space="0" w:color="auto"/>
        <w:left w:val="none" w:sz="0" w:space="0" w:color="auto"/>
        <w:bottom w:val="none" w:sz="0" w:space="0" w:color="auto"/>
        <w:right w:val="none" w:sz="0" w:space="0" w:color="auto"/>
      </w:divBdr>
    </w:div>
    <w:div w:id="293949544">
      <w:bodyDiv w:val="1"/>
      <w:marLeft w:val="0"/>
      <w:marRight w:val="0"/>
      <w:marTop w:val="0"/>
      <w:marBottom w:val="0"/>
      <w:divBdr>
        <w:top w:val="none" w:sz="0" w:space="0" w:color="auto"/>
        <w:left w:val="none" w:sz="0" w:space="0" w:color="auto"/>
        <w:bottom w:val="none" w:sz="0" w:space="0" w:color="auto"/>
        <w:right w:val="none" w:sz="0" w:space="0" w:color="auto"/>
      </w:divBdr>
    </w:div>
    <w:div w:id="374356462">
      <w:bodyDiv w:val="1"/>
      <w:marLeft w:val="0"/>
      <w:marRight w:val="0"/>
      <w:marTop w:val="0"/>
      <w:marBottom w:val="0"/>
      <w:divBdr>
        <w:top w:val="none" w:sz="0" w:space="0" w:color="auto"/>
        <w:left w:val="none" w:sz="0" w:space="0" w:color="auto"/>
        <w:bottom w:val="none" w:sz="0" w:space="0" w:color="auto"/>
        <w:right w:val="none" w:sz="0" w:space="0" w:color="auto"/>
      </w:divBdr>
    </w:div>
    <w:div w:id="460077778">
      <w:bodyDiv w:val="1"/>
      <w:marLeft w:val="0"/>
      <w:marRight w:val="0"/>
      <w:marTop w:val="0"/>
      <w:marBottom w:val="0"/>
      <w:divBdr>
        <w:top w:val="none" w:sz="0" w:space="0" w:color="auto"/>
        <w:left w:val="none" w:sz="0" w:space="0" w:color="auto"/>
        <w:bottom w:val="none" w:sz="0" w:space="0" w:color="auto"/>
        <w:right w:val="none" w:sz="0" w:space="0" w:color="auto"/>
      </w:divBdr>
    </w:div>
    <w:div w:id="664286989">
      <w:bodyDiv w:val="1"/>
      <w:marLeft w:val="0"/>
      <w:marRight w:val="0"/>
      <w:marTop w:val="0"/>
      <w:marBottom w:val="0"/>
      <w:divBdr>
        <w:top w:val="none" w:sz="0" w:space="0" w:color="auto"/>
        <w:left w:val="none" w:sz="0" w:space="0" w:color="auto"/>
        <w:bottom w:val="none" w:sz="0" w:space="0" w:color="auto"/>
        <w:right w:val="none" w:sz="0" w:space="0" w:color="auto"/>
      </w:divBdr>
    </w:div>
    <w:div w:id="713384036">
      <w:bodyDiv w:val="1"/>
      <w:marLeft w:val="0"/>
      <w:marRight w:val="0"/>
      <w:marTop w:val="0"/>
      <w:marBottom w:val="0"/>
      <w:divBdr>
        <w:top w:val="none" w:sz="0" w:space="0" w:color="auto"/>
        <w:left w:val="none" w:sz="0" w:space="0" w:color="auto"/>
        <w:bottom w:val="none" w:sz="0" w:space="0" w:color="auto"/>
        <w:right w:val="none" w:sz="0" w:space="0" w:color="auto"/>
      </w:divBdr>
    </w:div>
    <w:div w:id="802424478">
      <w:bodyDiv w:val="1"/>
      <w:marLeft w:val="0"/>
      <w:marRight w:val="0"/>
      <w:marTop w:val="0"/>
      <w:marBottom w:val="0"/>
      <w:divBdr>
        <w:top w:val="none" w:sz="0" w:space="0" w:color="auto"/>
        <w:left w:val="none" w:sz="0" w:space="0" w:color="auto"/>
        <w:bottom w:val="none" w:sz="0" w:space="0" w:color="auto"/>
        <w:right w:val="none" w:sz="0" w:space="0" w:color="auto"/>
      </w:divBdr>
    </w:div>
    <w:div w:id="904528554">
      <w:bodyDiv w:val="1"/>
      <w:marLeft w:val="0"/>
      <w:marRight w:val="0"/>
      <w:marTop w:val="0"/>
      <w:marBottom w:val="0"/>
      <w:divBdr>
        <w:top w:val="none" w:sz="0" w:space="0" w:color="auto"/>
        <w:left w:val="none" w:sz="0" w:space="0" w:color="auto"/>
        <w:bottom w:val="none" w:sz="0" w:space="0" w:color="auto"/>
        <w:right w:val="none" w:sz="0" w:space="0" w:color="auto"/>
      </w:divBdr>
    </w:div>
    <w:div w:id="944381885">
      <w:bodyDiv w:val="1"/>
      <w:marLeft w:val="0"/>
      <w:marRight w:val="0"/>
      <w:marTop w:val="0"/>
      <w:marBottom w:val="0"/>
      <w:divBdr>
        <w:top w:val="none" w:sz="0" w:space="0" w:color="auto"/>
        <w:left w:val="none" w:sz="0" w:space="0" w:color="auto"/>
        <w:bottom w:val="none" w:sz="0" w:space="0" w:color="auto"/>
        <w:right w:val="none" w:sz="0" w:space="0" w:color="auto"/>
      </w:divBdr>
    </w:div>
    <w:div w:id="994072789">
      <w:bodyDiv w:val="1"/>
      <w:marLeft w:val="0"/>
      <w:marRight w:val="0"/>
      <w:marTop w:val="0"/>
      <w:marBottom w:val="0"/>
      <w:divBdr>
        <w:top w:val="none" w:sz="0" w:space="0" w:color="auto"/>
        <w:left w:val="none" w:sz="0" w:space="0" w:color="auto"/>
        <w:bottom w:val="none" w:sz="0" w:space="0" w:color="auto"/>
        <w:right w:val="none" w:sz="0" w:space="0" w:color="auto"/>
      </w:divBdr>
    </w:div>
    <w:div w:id="1065027707">
      <w:bodyDiv w:val="1"/>
      <w:marLeft w:val="0"/>
      <w:marRight w:val="0"/>
      <w:marTop w:val="0"/>
      <w:marBottom w:val="0"/>
      <w:divBdr>
        <w:top w:val="none" w:sz="0" w:space="0" w:color="auto"/>
        <w:left w:val="none" w:sz="0" w:space="0" w:color="auto"/>
        <w:bottom w:val="none" w:sz="0" w:space="0" w:color="auto"/>
        <w:right w:val="none" w:sz="0" w:space="0" w:color="auto"/>
      </w:divBdr>
    </w:div>
    <w:div w:id="1072894243">
      <w:bodyDiv w:val="1"/>
      <w:marLeft w:val="0"/>
      <w:marRight w:val="0"/>
      <w:marTop w:val="0"/>
      <w:marBottom w:val="0"/>
      <w:divBdr>
        <w:top w:val="none" w:sz="0" w:space="0" w:color="auto"/>
        <w:left w:val="none" w:sz="0" w:space="0" w:color="auto"/>
        <w:bottom w:val="none" w:sz="0" w:space="0" w:color="auto"/>
        <w:right w:val="none" w:sz="0" w:space="0" w:color="auto"/>
      </w:divBdr>
    </w:div>
    <w:div w:id="1134257820">
      <w:bodyDiv w:val="1"/>
      <w:marLeft w:val="0"/>
      <w:marRight w:val="0"/>
      <w:marTop w:val="0"/>
      <w:marBottom w:val="0"/>
      <w:divBdr>
        <w:top w:val="none" w:sz="0" w:space="0" w:color="auto"/>
        <w:left w:val="none" w:sz="0" w:space="0" w:color="auto"/>
        <w:bottom w:val="none" w:sz="0" w:space="0" w:color="auto"/>
        <w:right w:val="none" w:sz="0" w:space="0" w:color="auto"/>
      </w:divBdr>
    </w:div>
    <w:div w:id="1183785743">
      <w:bodyDiv w:val="1"/>
      <w:marLeft w:val="0"/>
      <w:marRight w:val="0"/>
      <w:marTop w:val="0"/>
      <w:marBottom w:val="0"/>
      <w:divBdr>
        <w:top w:val="none" w:sz="0" w:space="0" w:color="auto"/>
        <w:left w:val="none" w:sz="0" w:space="0" w:color="auto"/>
        <w:bottom w:val="none" w:sz="0" w:space="0" w:color="auto"/>
        <w:right w:val="none" w:sz="0" w:space="0" w:color="auto"/>
      </w:divBdr>
    </w:div>
    <w:div w:id="1217201102">
      <w:bodyDiv w:val="1"/>
      <w:marLeft w:val="0"/>
      <w:marRight w:val="0"/>
      <w:marTop w:val="0"/>
      <w:marBottom w:val="0"/>
      <w:divBdr>
        <w:top w:val="none" w:sz="0" w:space="0" w:color="auto"/>
        <w:left w:val="none" w:sz="0" w:space="0" w:color="auto"/>
        <w:bottom w:val="none" w:sz="0" w:space="0" w:color="auto"/>
        <w:right w:val="none" w:sz="0" w:space="0" w:color="auto"/>
      </w:divBdr>
    </w:div>
    <w:div w:id="1229147186">
      <w:bodyDiv w:val="1"/>
      <w:marLeft w:val="0"/>
      <w:marRight w:val="0"/>
      <w:marTop w:val="0"/>
      <w:marBottom w:val="0"/>
      <w:divBdr>
        <w:top w:val="none" w:sz="0" w:space="0" w:color="auto"/>
        <w:left w:val="none" w:sz="0" w:space="0" w:color="auto"/>
        <w:bottom w:val="none" w:sz="0" w:space="0" w:color="auto"/>
        <w:right w:val="none" w:sz="0" w:space="0" w:color="auto"/>
      </w:divBdr>
    </w:div>
    <w:div w:id="1303535726">
      <w:bodyDiv w:val="1"/>
      <w:marLeft w:val="0"/>
      <w:marRight w:val="0"/>
      <w:marTop w:val="0"/>
      <w:marBottom w:val="0"/>
      <w:divBdr>
        <w:top w:val="none" w:sz="0" w:space="0" w:color="auto"/>
        <w:left w:val="none" w:sz="0" w:space="0" w:color="auto"/>
        <w:bottom w:val="none" w:sz="0" w:space="0" w:color="auto"/>
        <w:right w:val="none" w:sz="0" w:space="0" w:color="auto"/>
      </w:divBdr>
    </w:div>
    <w:div w:id="1323242442">
      <w:bodyDiv w:val="1"/>
      <w:marLeft w:val="0"/>
      <w:marRight w:val="0"/>
      <w:marTop w:val="0"/>
      <w:marBottom w:val="0"/>
      <w:divBdr>
        <w:top w:val="none" w:sz="0" w:space="0" w:color="auto"/>
        <w:left w:val="none" w:sz="0" w:space="0" w:color="auto"/>
        <w:bottom w:val="none" w:sz="0" w:space="0" w:color="auto"/>
        <w:right w:val="none" w:sz="0" w:space="0" w:color="auto"/>
      </w:divBdr>
    </w:div>
    <w:div w:id="1356156612">
      <w:bodyDiv w:val="1"/>
      <w:marLeft w:val="0"/>
      <w:marRight w:val="0"/>
      <w:marTop w:val="0"/>
      <w:marBottom w:val="0"/>
      <w:divBdr>
        <w:top w:val="none" w:sz="0" w:space="0" w:color="auto"/>
        <w:left w:val="none" w:sz="0" w:space="0" w:color="auto"/>
        <w:bottom w:val="none" w:sz="0" w:space="0" w:color="auto"/>
        <w:right w:val="none" w:sz="0" w:space="0" w:color="auto"/>
      </w:divBdr>
    </w:div>
    <w:div w:id="1357195981">
      <w:bodyDiv w:val="1"/>
      <w:marLeft w:val="0"/>
      <w:marRight w:val="0"/>
      <w:marTop w:val="0"/>
      <w:marBottom w:val="0"/>
      <w:divBdr>
        <w:top w:val="none" w:sz="0" w:space="0" w:color="auto"/>
        <w:left w:val="none" w:sz="0" w:space="0" w:color="auto"/>
        <w:bottom w:val="none" w:sz="0" w:space="0" w:color="auto"/>
        <w:right w:val="none" w:sz="0" w:space="0" w:color="auto"/>
      </w:divBdr>
    </w:div>
    <w:div w:id="1409427974">
      <w:bodyDiv w:val="1"/>
      <w:marLeft w:val="0"/>
      <w:marRight w:val="0"/>
      <w:marTop w:val="0"/>
      <w:marBottom w:val="0"/>
      <w:divBdr>
        <w:top w:val="none" w:sz="0" w:space="0" w:color="auto"/>
        <w:left w:val="none" w:sz="0" w:space="0" w:color="auto"/>
        <w:bottom w:val="none" w:sz="0" w:space="0" w:color="auto"/>
        <w:right w:val="none" w:sz="0" w:space="0" w:color="auto"/>
      </w:divBdr>
    </w:div>
    <w:div w:id="1493909988">
      <w:bodyDiv w:val="1"/>
      <w:marLeft w:val="0"/>
      <w:marRight w:val="0"/>
      <w:marTop w:val="0"/>
      <w:marBottom w:val="0"/>
      <w:divBdr>
        <w:top w:val="none" w:sz="0" w:space="0" w:color="auto"/>
        <w:left w:val="none" w:sz="0" w:space="0" w:color="auto"/>
        <w:bottom w:val="none" w:sz="0" w:space="0" w:color="auto"/>
        <w:right w:val="none" w:sz="0" w:space="0" w:color="auto"/>
      </w:divBdr>
    </w:div>
    <w:div w:id="1542865940">
      <w:bodyDiv w:val="1"/>
      <w:marLeft w:val="0"/>
      <w:marRight w:val="0"/>
      <w:marTop w:val="0"/>
      <w:marBottom w:val="0"/>
      <w:divBdr>
        <w:top w:val="none" w:sz="0" w:space="0" w:color="auto"/>
        <w:left w:val="none" w:sz="0" w:space="0" w:color="auto"/>
        <w:bottom w:val="none" w:sz="0" w:space="0" w:color="auto"/>
        <w:right w:val="none" w:sz="0" w:space="0" w:color="auto"/>
      </w:divBdr>
    </w:div>
    <w:div w:id="1564679771">
      <w:bodyDiv w:val="1"/>
      <w:marLeft w:val="0"/>
      <w:marRight w:val="0"/>
      <w:marTop w:val="0"/>
      <w:marBottom w:val="0"/>
      <w:divBdr>
        <w:top w:val="none" w:sz="0" w:space="0" w:color="auto"/>
        <w:left w:val="none" w:sz="0" w:space="0" w:color="auto"/>
        <w:bottom w:val="none" w:sz="0" w:space="0" w:color="auto"/>
        <w:right w:val="none" w:sz="0" w:space="0" w:color="auto"/>
      </w:divBdr>
    </w:div>
    <w:div w:id="1671911736">
      <w:bodyDiv w:val="1"/>
      <w:marLeft w:val="0"/>
      <w:marRight w:val="0"/>
      <w:marTop w:val="0"/>
      <w:marBottom w:val="0"/>
      <w:divBdr>
        <w:top w:val="none" w:sz="0" w:space="0" w:color="auto"/>
        <w:left w:val="none" w:sz="0" w:space="0" w:color="auto"/>
        <w:bottom w:val="none" w:sz="0" w:space="0" w:color="auto"/>
        <w:right w:val="none" w:sz="0" w:space="0" w:color="auto"/>
      </w:divBdr>
    </w:div>
    <w:div w:id="1730764550">
      <w:bodyDiv w:val="1"/>
      <w:marLeft w:val="0"/>
      <w:marRight w:val="0"/>
      <w:marTop w:val="0"/>
      <w:marBottom w:val="0"/>
      <w:divBdr>
        <w:top w:val="none" w:sz="0" w:space="0" w:color="auto"/>
        <w:left w:val="none" w:sz="0" w:space="0" w:color="auto"/>
        <w:bottom w:val="none" w:sz="0" w:space="0" w:color="auto"/>
        <w:right w:val="none" w:sz="0" w:space="0" w:color="auto"/>
      </w:divBdr>
    </w:div>
    <w:div w:id="1735161706">
      <w:bodyDiv w:val="1"/>
      <w:marLeft w:val="0"/>
      <w:marRight w:val="0"/>
      <w:marTop w:val="0"/>
      <w:marBottom w:val="0"/>
      <w:divBdr>
        <w:top w:val="none" w:sz="0" w:space="0" w:color="auto"/>
        <w:left w:val="none" w:sz="0" w:space="0" w:color="auto"/>
        <w:bottom w:val="none" w:sz="0" w:space="0" w:color="auto"/>
        <w:right w:val="none" w:sz="0" w:space="0" w:color="auto"/>
      </w:divBdr>
    </w:div>
    <w:div w:id="1880319062">
      <w:bodyDiv w:val="1"/>
      <w:marLeft w:val="0"/>
      <w:marRight w:val="0"/>
      <w:marTop w:val="0"/>
      <w:marBottom w:val="0"/>
      <w:divBdr>
        <w:top w:val="none" w:sz="0" w:space="0" w:color="auto"/>
        <w:left w:val="none" w:sz="0" w:space="0" w:color="auto"/>
        <w:bottom w:val="none" w:sz="0" w:space="0" w:color="auto"/>
        <w:right w:val="none" w:sz="0" w:space="0" w:color="auto"/>
      </w:divBdr>
    </w:div>
    <w:div w:id="1967075775">
      <w:bodyDiv w:val="1"/>
      <w:marLeft w:val="0"/>
      <w:marRight w:val="0"/>
      <w:marTop w:val="0"/>
      <w:marBottom w:val="0"/>
      <w:divBdr>
        <w:top w:val="none" w:sz="0" w:space="0" w:color="auto"/>
        <w:left w:val="none" w:sz="0" w:space="0" w:color="auto"/>
        <w:bottom w:val="none" w:sz="0" w:space="0" w:color="auto"/>
        <w:right w:val="none" w:sz="0" w:space="0" w:color="auto"/>
      </w:divBdr>
    </w:div>
    <w:div w:id="2012952889">
      <w:bodyDiv w:val="1"/>
      <w:marLeft w:val="0"/>
      <w:marRight w:val="0"/>
      <w:marTop w:val="0"/>
      <w:marBottom w:val="0"/>
      <w:divBdr>
        <w:top w:val="none" w:sz="0" w:space="0" w:color="auto"/>
        <w:left w:val="none" w:sz="0" w:space="0" w:color="auto"/>
        <w:bottom w:val="none" w:sz="0" w:space="0" w:color="auto"/>
        <w:right w:val="none" w:sz="0" w:space="0" w:color="auto"/>
      </w:divBdr>
    </w:div>
    <w:div w:id="2089501130">
      <w:bodyDiv w:val="1"/>
      <w:marLeft w:val="0"/>
      <w:marRight w:val="0"/>
      <w:marTop w:val="0"/>
      <w:marBottom w:val="0"/>
      <w:divBdr>
        <w:top w:val="none" w:sz="0" w:space="0" w:color="auto"/>
        <w:left w:val="none" w:sz="0" w:space="0" w:color="auto"/>
        <w:bottom w:val="none" w:sz="0" w:space="0" w:color="auto"/>
        <w:right w:val="none" w:sz="0" w:space="0" w:color="auto"/>
      </w:divBdr>
    </w:div>
    <w:div w:id="2142919719">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s://dle.rae.es/trasladar" TargetMode="External"/><Relationship Id="rId12" Type="http://schemas.openxmlformats.org/officeDocument/2006/relationships/fontTable" Target="fontTable.xml"/><Relationship Id="rId13" Type="http://schemas.openxmlformats.org/officeDocument/2006/relationships/theme" Target="theme/theme1.xml"/><Relationship Id="rId17" Type="http://schemas.microsoft.com/office/2016/09/relationships/commentsIds" Target="commentsIds.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www.secretariasenado.gov.co/senado/basedoc/ley_0795_2003.html" TargetMode="External"/><Relationship Id="rId9" Type="http://schemas.openxmlformats.org/officeDocument/2006/relationships/hyperlink" Target="http://www.secretariasenado.gov.co/senado/basedoc/codigo_comercio_pr006.html" TargetMode="External"/><Relationship Id="rId10" Type="http://schemas.openxmlformats.org/officeDocument/2006/relationships/hyperlink" Target="https://dej.rae.es/lema/afiliacion"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994FE1-ABA4-DE40-B43F-C2D9409DE9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88</Pages>
  <Words>19048</Words>
  <Characters>104765</Characters>
  <Application>Microsoft Macintosh Word</Application>
  <DocSecurity>0</DocSecurity>
  <Lines>873</Lines>
  <Paragraphs>247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123566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Microsoft Office</dc:creator>
  <cp:keywords/>
  <dc:description/>
  <cp:lastModifiedBy>Usuario de Microsoft Office</cp:lastModifiedBy>
  <cp:revision>2</cp:revision>
  <dcterms:created xsi:type="dcterms:W3CDTF">2020-06-01T23:02:00Z</dcterms:created>
  <dcterms:modified xsi:type="dcterms:W3CDTF">2020-06-01T23:02:00Z</dcterms:modified>
</cp:coreProperties>
</file>